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6F" w:rsidRPr="009810C7" w:rsidRDefault="00963D6F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La nueva Ley Orgánica 4/2015, de protección de la seguridad ciudadana.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A</w:t>
      </w:r>
      <w:r w:rsidR="00363F69" w:rsidRPr="009810C7">
        <w:rPr>
          <w:rFonts w:ascii="Garamond" w:hAnsi="Garamond"/>
          <w:sz w:val="26"/>
          <w:szCs w:val="26"/>
        </w:rPr>
        <w:t xml:space="preserve">utora: Patricia </w:t>
      </w:r>
      <w:proofErr w:type="spellStart"/>
      <w:r w:rsidR="00363F69" w:rsidRPr="009810C7">
        <w:rPr>
          <w:rFonts w:ascii="Garamond" w:hAnsi="Garamond"/>
          <w:sz w:val="26"/>
          <w:szCs w:val="26"/>
        </w:rPr>
        <w:t>Gaines</w:t>
      </w:r>
      <w:proofErr w:type="spellEnd"/>
      <w:r w:rsidR="00363F69" w:rsidRPr="009810C7">
        <w:rPr>
          <w:rFonts w:ascii="Garamond" w:hAnsi="Garamond"/>
          <w:sz w:val="26"/>
          <w:szCs w:val="26"/>
        </w:rPr>
        <w:t xml:space="preserve"> </w:t>
      </w:r>
      <w:proofErr w:type="spellStart"/>
      <w:r w:rsidR="00363F69" w:rsidRPr="009810C7">
        <w:rPr>
          <w:rFonts w:ascii="Garamond" w:hAnsi="Garamond"/>
          <w:sz w:val="26"/>
          <w:szCs w:val="26"/>
        </w:rPr>
        <w:t>Chazarra</w:t>
      </w:r>
      <w:proofErr w:type="spellEnd"/>
      <w:r w:rsidR="00363F69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15881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Resumen: </w:t>
      </w:r>
      <w:r w:rsidR="00F8253C" w:rsidRPr="009810C7">
        <w:rPr>
          <w:rFonts w:ascii="Garamond" w:hAnsi="Garamond"/>
          <w:sz w:val="26"/>
          <w:szCs w:val="26"/>
        </w:rPr>
        <w:t>El 31 de marzo de 2015 se publicó en el BOE la nueva Ley Orgánica 4/2015, de protección de la seguridad ciudadana,</w:t>
      </w:r>
      <w:r w:rsidR="00715881" w:rsidRPr="009810C7">
        <w:rPr>
          <w:rFonts w:ascii="Garamond" w:hAnsi="Garamond"/>
          <w:sz w:val="26"/>
          <w:szCs w:val="26"/>
        </w:rPr>
        <w:t xml:space="preserve"> que se estructura en cinco capítulos divididos en cincuenta y cuatro artículos, siete disposiciones adicionales, una transitoria, </w:t>
      </w:r>
      <w:r w:rsidR="00D369C9" w:rsidRPr="009810C7">
        <w:rPr>
          <w:rFonts w:ascii="Garamond" w:hAnsi="Garamond"/>
          <w:sz w:val="26"/>
          <w:szCs w:val="26"/>
        </w:rPr>
        <w:t>una derogatoria y cinco finales. Esta nueva ley</w:t>
      </w:r>
      <w:r w:rsidR="00715881" w:rsidRPr="009810C7">
        <w:rPr>
          <w:rFonts w:ascii="Garamond" w:hAnsi="Garamond"/>
          <w:sz w:val="26"/>
          <w:szCs w:val="26"/>
        </w:rPr>
        <w:t xml:space="preserve"> entrará en vigor el 1 de julio de 2015.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167B6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1.</w:t>
      </w:r>
      <w:r w:rsidRPr="009810C7">
        <w:rPr>
          <w:rFonts w:ascii="Garamond" w:hAnsi="Garamond"/>
          <w:sz w:val="26"/>
          <w:szCs w:val="26"/>
        </w:rPr>
        <w:t xml:space="preserve"> </w:t>
      </w:r>
      <w:r w:rsidR="004167B6" w:rsidRPr="009810C7">
        <w:rPr>
          <w:rFonts w:ascii="Garamond" w:hAnsi="Garamond"/>
          <w:sz w:val="26"/>
          <w:szCs w:val="26"/>
        </w:rPr>
        <w:t>El Capítulo I, denominado “Disposiciones Generales”, regula el objeto, el ámbito de aplicación y los fines de la ley; los principios rectores de la acción de los poderes públicos en relación con la seguridad ciudadana; las autoridades y órganos competentes en esta materia; la cooperación administrativa; y el deber de colaboración de los todos los funcionarios públicos con los órganos mencionados en el artículo 5.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15881" w:rsidRPr="009810C7" w:rsidRDefault="00F478DD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Esta l</w:t>
      </w:r>
      <w:r w:rsidR="00715881" w:rsidRPr="009810C7">
        <w:rPr>
          <w:rFonts w:ascii="Garamond" w:hAnsi="Garamond"/>
          <w:sz w:val="26"/>
          <w:szCs w:val="26"/>
        </w:rPr>
        <w:t>ey tiene por objeto la protección de personas y bienes y el mantenimiento de la tranquilidad ciudadana, e incluye un</w:t>
      </w:r>
      <w:r w:rsidR="0091653F" w:rsidRPr="009810C7">
        <w:rPr>
          <w:rFonts w:ascii="Garamond" w:hAnsi="Garamond"/>
          <w:sz w:val="26"/>
          <w:szCs w:val="26"/>
        </w:rPr>
        <w:t xml:space="preserve"> conjunto</w:t>
      </w:r>
      <w:r w:rsidR="00715881" w:rsidRPr="009810C7">
        <w:rPr>
          <w:rFonts w:ascii="Garamond" w:hAnsi="Garamond"/>
          <w:sz w:val="26"/>
          <w:szCs w:val="26"/>
        </w:rPr>
        <w:t xml:space="preserve"> de actuaciones orientadas a una misma finalidad tuitiva del bien jurídico protegido. Una parte significativa de su contenido se refiere a la regulación de las intervenciones de la policía de seguridad, a las funciones propias de las Fuerzas y Cuerpos de Seguridad. Además, la Ley aborda las obligaciones de registro documental o de adopción de medidas de seguridad por las personas físicas o jurídicas que realicen actividades relevantes para la seguridad ciudadana, o el control administrativo sobre armas y explosivos, entre otras.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84E13" w:rsidRPr="009810C7" w:rsidRDefault="00FC743D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E</w:t>
      </w:r>
      <w:r w:rsidR="00E84E13" w:rsidRPr="009810C7">
        <w:rPr>
          <w:rFonts w:ascii="Garamond" w:hAnsi="Garamond"/>
          <w:sz w:val="26"/>
          <w:szCs w:val="26"/>
        </w:rPr>
        <w:t>s</w:t>
      </w:r>
      <w:r w:rsidRPr="009810C7">
        <w:rPr>
          <w:rFonts w:ascii="Garamond" w:hAnsi="Garamond"/>
          <w:sz w:val="26"/>
          <w:szCs w:val="26"/>
        </w:rPr>
        <w:t xml:space="preserve">ta reforma se justifica en </w:t>
      </w:r>
      <w:r w:rsidR="00E84E13" w:rsidRPr="009810C7">
        <w:rPr>
          <w:rFonts w:ascii="Garamond" w:hAnsi="Garamond"/>
          <w:sz w:val="26"/>
          <w:szCs w:val="26"/>
        </w:rPr>
        <w:t xml:space="preserve"> una demanda creciente de la ci</w:t>
      </w:r>
      <w:r w:rsidR="005B5CA3" w:rsidRPr="009810C7">
        <w:rPr>
          <w:rFonts w:ascii="Garamond" w:hAnsi="Garamond"/>
          <w:sz w:val="26"/>
          <w:szCs w:val="26"/>
        </w:rPr>
        <w:t>udadanía en torno a la seguridad,</w:t>
      </w:r>
      <w:r w:rsidR="00E84E13" w:rsidRPr="009810C7">
        <w:rPr>
          <w:rFonts w:ascii="Garamond" w:hAnsi="Garamond"/>
          <w:sz w:val="26"/>
          <w:szCs w:val="26"/>
        </w:rPr>
        <w:t xml:space="preserve"> la actualización de conceptos y su adecuación a las circunstancias actuales, así como la incorporación de la jurisprudencia</w:t>
      </w:r>
      <w:r w:rsidRPr="009810C7">
        <w:rPr>
          <w:rFonts w:ascii="Garamond" w:hAnsi="Garamond"/>
          <w:sz w:val="26"/>
          <w:szCs w:val="26"/>
        </w:rPr>
        <w:t xml:space="preserve"> constitucional. Además</w:t>
      </w:r>
      <w:r w:rsidR="00E84E13" w:rsidRPr="009810C7">
        <w:rPr>
          <w:rFonts w:ascii="Garamond" w:hAnsi="Garamond"/>
          <w:sz w:val="26"/>
          <w:szCs w:val="26"/>
        </w:rPr>
        <w:t xml:space="preserve"> se</w:t>
      </w:r>
      <w:r w:rsidRPr="009810C7">
        <w:rPr>
          <w:rFonts w:ascii="Garamond" w:hAnsi="Garamond"/>
          <w:sz w:val="26"/>
          <w:szCs w:val="26"/>
        </w:rPr>
        <w:t xml:space="preserve"> alude al</w:t>
      </w:r>
      <w:r w:rsidR="00E84E13" w:rsidRPr="009810C7">
        <w:rPr>
          <w:rFonts w:ascii="Garamond" w:hAnsi="Garamond"/>
          <w:sz w:val="26"/>
          <w:szCs w:val="26"/>
        </w:rPr>
        <w:t xml:space="preserve"> principio de proporciona</w:t>
      </w:r>
      <w:r w:rsidR="001D7DC6" w:rsidRPr="009810C7">
        <w:rPr>
          <w:rFonts w:ascii="Garamond" w:hAnsi="Garamond"/>
          <w:sz w:val="26"/>
          <w:szCs w:val="26"/>
        </w:rPr>
        <w:t>lidad</w:t>
      </w:r>
      <w:r w:rsidRPr="009810C7">
        <w:rPr>
          <w:rFonts w:ascii="Garamond" w:hAnsi="Garamond"/>
          <w:sz w:val="26"/>
          <w:szCs w:val="26"/>
        </w:rPr>
        <w:t xml:space="preserve"> para garantizar un</w:t>
      </w:r>
      <w:r w:rsidR="00E84E13" w:rsidRPr="009810C7">
        <w:rPr>
          <w:rFonts w:ascii="Garamond" w:hAnsi="Garamond"/>
          <w:sz w:val="26"/>
          <w:szCs w:val="26"/>
        </w:rPr>
        <w:t xml:space="preserve"> equilibrio en las limitaciones que a los derechos fundamentales puedan imponerse con fundamento en la seguridad ciudadana.</w:t>
      </w:r>
      <w:r w:rsidR="00F478DD" w:rsidRPr="009810C7">
        <w:rPr>
          <w:rFonts w:ascii="Garamond" w:hAnsi="Garamond"/>
          <w:sz w:val="26"/>
          <w:szCs w:val="26"/>
        </w:rPr>
        <w:t xml:space="preserve"> Se incluye</w:t>
      </w:r>
      <w:r w:rsidR="00E84E13" w:rsidRPr="009810C7">
        <w:rPr>
          <w:rFonts w:ascii="Garamond" w:hAnsi="Garamond"/>
          <w:sz w:val="26"/>
          <w:szCs w:val="26"/>
        </w:rPr>
        <w:t xml:space="preserve"> como novedad la incorporación de una perspectiva integral de la seguridad pública que incluye la actuación de las empresas y el personal de seguridad privada, a quienes sitúa en un mismo nivel de acción y participación que las autoridades públicas y los cuerpos policiales.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B63170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2.</w:t>
      </w:r>
      <w:r w:rsidRPr="009810C7">
        <w:rPr>
          <w:rFonts w:ascii="Garamond" w:hAnsi="Garamond"/>
          <w:sz w:val="26"/>
          <w:szCs w:val="26"/>
        </w:rPr>
        <w:t xml:space="preserve"> </w:t>
      </w:r>
      <w:r w:rsidR="009F6905" w:rsidRPr="009810C7">
        <w:rPr>
          <w:rFonts w:ascii="Garamond" w:hAnsi="Garamond"/>
          <w:sz w:val="26"/>
          <w:szCs w:val="26"/>
        </w:rPr>
        <w:t>El Capítulo II, denominado “Documentación e identificación personal”, contiene disposiciones relativas a la acreditación de identidad de los nacionales españoles y de los extranjeros, regulando concretamente el documento nacional de identidad y el pasaporte para los ciudadanos españoles, y estableciendo la obligación de que los extranjeros conserven y porten un documento de identidad expedido por la autoridad de su país de origen, así como la documentación que acredite su situación regular en España.</w:t>
      </w:r>
      <w:r w:rsidR="00FC1D98" w:rsidRPr="009810C7">
        <w:rPr>
          <w:rFonts w:ascii="Garamond" w:hAnsi="Garamond"/>
          <w:sz w:val="26"/>
          <w:szCs w:val="26"/>
        </w:rPr>
        <w:t xml:space="preserve"> Mientras que los </w:t>
      </w:r>
      <w:r w:rsidR="00FC743D" w:rsidRPr="009810C7">
        <w:rPr>
          <w:rFonts w:ascii="Garamond" w:hAnsi="Garamond"/>
          <w:sz w:val="26"/>
          <w:szCs w:val="26"/>
        </w:rPr>
        <w:t xml:space="preserve">ciudadanos </w:t>
      </w:r>
      <w:r w:rsidR="00FC1D98" w:rsidRPr="009810C7">
        <w:rPr>
          <w:rFonts w:ascii="Garamond" w:hAnsi="Garamond"/>
          <w:sz w:val="26"/>
          <w:szCs w:val="26"/>
        </w:rPr>
        <w:t>españoles</w:t>
      </w:r>
      <w:r w:rsidR="00386DE1" w:rsidRPr="009810C7">
        <w:rPr>
          <w:rFonts w:ascii="Garamond" w:hAnsi="Garamond"/>
          <w:sz w:val="26"/>
          <w:szCs w:val="26"/>
        </w:rPr>
        <w:t xml:space="preserve"> no pueden ser privados de su documentación</w:t>
      </w:r>
      <w:r w:rsidR="00F478DD" w:rsidRPr="009810C7">
        <w:rPr>
          <w:rFonts w:ascii="Garamond" w:hAnsi="Garamond"/>
          <w:sz w:val="26"/>
          <w:szCs w:val="26"/>
        </w:rPr>
        <w:t xml:space="preserve">, la redacción del </w:t>
      </w:r>
      <w:r w:rsidR="00FC1D98" w:rsidRPr="009810C7">
        <w:rPr>
          <w:rFonts w:ascii="Garamond" w:hAnsi="Garamond"/>
          <w:sz w:val="26"/>
          <w:szCs w:val="26"/>
        </w:rPr>
        <w:t>artículo 13</w:t>
      </w:r>
      <w:r w:rsidR="00F478DD" w:rsidRPr="009810C7">
        <w:rPr>
          <w:rFonts w:ascii="Garamond" w:hAnsi="Garamond"/>
          <w:sz w:val="26"/>
          <w:szCs w:val="26"/>
        </w:rPr>
        <w:t>.3</w:t>
      </w:r>
      <w:r w:rsidR="00FC1D98" w:rsidRPr="009810C7">
        <w:rPr>
          <w:rFonts w:ascii="Garamond" w:hAnsi="Garamond"/>
          <w:sz w:val="26"/>
          <w:szCs w:val="26"/>
        </w:rPr>
        <w:t xml:space="preserve"> </w:t>
      </w:r>
      <w:r w:rsidR="00F478DD" w:rsidRPr="009810C7">
        <w:rPr>
          <w:rFonts w:ascii="Garamond" w:hAnsi="Garamond"/>
          <w:sz w:val="26"/>
          <w:szCs w:val="26"/>
        </w:rPr>
        <w:t xml:space="preserve">permite </w:t>
      </w:r>
      <w:r w:rsidR="00FC1D98" w:rsidRPr="009810C7">
        <w:rPr>
          <w:rFonts w:ascii="Garamond" w:hAnsi="Garamond"/>
          <w:sz w:val="26"/>
          <w:szCs w:val="26"/>
        </w:rPr>
        <w:t>que a los ext</w:t>
      </w:r>
      <w:r w:rsidR="00F478DD" w:rsidRPr="009810C7">
        <w:rPr>
          <w:rFonts w:ascii="Garamond" w:hAnsi="Garamond"/>
          <w:sz w:val="26"/>
          <w:szCs w:val="26"/>
        </w:rPr>
        <w:t>ranjeros se les pueda</w:t>
      </w:r>
      <w:r w:rsidR="00FC1D98" w:rsidRPr="009810C7">
        <w:rPr>
          <w:rFonts w:ascii="Garamond" w:hAnsi="Garamond"/>
          <w:sz w:val="26"/>
          <w:szCs w:val="26"/>
        </w:rPr>
        <w:t xml:space="preserve"> privar temporalmente de su documentación a fin de comprobar las </w:t>
      </w:r>
      <w:r w:rsidR="00FC1D98" w:rsidRPr="009810C7">
        <w:rPr>
          <w:rFonts w:ascii="Garamond" w:hAnsi="Garamond"/>
          <w:sz w:val="26"/>
          <w:szCs w:val="26"/>
        </w:rPr>
        <w:lastRenderedPageBreak/>
        <w:t>me</w:t>
      </w:r>
      <w:r w:rsidR="00386DE1" w:rsidRPr="009810C7">
        <w:rPr>
          <w:rFonts w:ascii="Garamond" w:hAnsi="Garamond"/>
          <w:sz w:val="26"/>
          <w:szCs w:val="26"/>
        </w:rPr>
        <w:t xml:space="preserve">didas de seguridad de la misma </w:t>
      </w:r>
      <w:r w:rsidR="00FC1D98" w:rsidRPr="009810C7">
        <w:rPr>
          <w:rFonts w:ascii="Garamond" w:hAnsi="Garamond"/>
          <w:sz w:val="26"/>
          <w:szCs w:val="26"/>
        </w:rPr>
        <w:t>por el tiempo imprescindible para dicha comprobación</w:t>
      </w:r>
      <w:r w:rsidR="00B63170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B63170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3.</w:t>
      </w:r>
      <w:r w:rsidRPr="009810C7">
        <w:rPr>
          <w:rFonts w:ascii="Garamond" w:hAnsi="Garamond"/>
          <w:sz w:val="26"/>
          <w:szCs w:val="26"/>
        </w:rPr>
        <w:t xml:space="preserve"> </w:t>
      </w:r>
      <w:r w:rsidR="00B63170" w:rsidRPr="009810C7">
        <w:rPr>
          <w:rFonts w:ascii="Garamond" w:hAnsi="Garamond"/>
          <w:sz w:val="26"/>
          <w:szCs w:val="26"/>
        </w:rPr>
        <w:t xml:space="preserve">El Capítulo III, denominado “Actuaciones para el mantenimiento y restablecimiento de la seguridad ciudadana” se divide en dos secciones: potestad General de policía de seguridad; y mantenimiento y restablecimiento de la seguridad ciudadana en reuniones y manifestaciones. </w:t>
      </w:r>
    </w:p>
    <w:p w:rsidR="009810C7" w:rsidRPr="009810C7" w:rsidRDefault="009810C7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B63170" w:rsidRPr="009810C7" w:rsidRDefault="00B63170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En cuanto a las potestades de la policía de seguridad, destacan: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113818" w:rsidRPr="009810C7" w:rsidRDefault="002926E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Entrada y registro en domicilio y edificios de organismos oficiales</w:t>
      </w:r>
      <w:r w:rsidR="00F65B69" w:rsidRPr="009810C7">
        <w:rPr>
          <w:rFonts w:ascii="Garamond" w:hAnsi="Garamond"/>
          <w:b/>
          <w:sz w:val="26"/>
          <w:szCs w:val="26"/>
        </w:rPr>
        <w:t>.</w:t>
      </w:r>
      <w:r w:rsidR="001224A4" w:rsidRPr="009810C7">
        <w:rPr>
          <w:rFonts w:ascii="Garamond" w:hAnsi="Garamond"/>
          <w:sz w:val="26"/>
          <w:szCs w:val="26"/>
        </w:rPr>
        <w:t xml:space="preserve"> L</w:t>
      </w:r>
      <w:r w:rsidR="00113818" w:rsidRPr="009810C7">
        <w:rPr>
          <w:rFonts w:ascii="Garamond" w:hAnsi="Garamond"/>
          <w:sz w:val="26"/>
          <w:szCs w:val="26"/>
        </w:rPr>
        <w:t>os supuestos que const</w:t>
      </w:r>
      <w:r w:rsidR="001224A4" w:rsidRPr="009810C7">
        <w:rPr>
          <w:rFonts w:ascii="Garamond" w:hAnsi="Garamond"/>
          <w:sz w:val="26"/>
          <w:szCs w:val="26"/>
        </w:rPr>
        <w:t>ituyen causa legítima</w:t>
      </w:r>
      <w:r w:rsidR="00113818" w:rsidRPr="009810C7">
        <w:rPr>
          <w:rFonts w:ascii="Garamond" w:hAnsi="Garamond"/>
          <w:sz w:val="26"/>
          <w:szCs w:val="26"/>
        </w:rPr>
        <w:t xml:space="preserve"> </w:t>
      </w:r>
      <w:r w:rsidR="00F65B69" w:rsidRPr="009810C7">
        <w:rPr>
          <w:rFonts w:ascii="Garamond" w:hAnsi="Garamond"/>
          <w:sz w:val="26"/>
          <w:szCs w:val="26"/>
        </w:rPr>
        <w:t>para la entrada en un domicilio</w:t>
      </w:r>
      <w:r w:rsidR="001224A4" w:rsidRPr="009810C7">
        <w:rPr>
          <w:rFonts w:ascii="Garamond" w:hAnsi="Garamond"/>
          <w:sz w:val="26"/>
          <w:szCs w:val="26"/>
        </w:rPr>
        <w:t xml:space="preserve"> son</w:t>
      </w:r>
      <w:r w:rsidR="00F65B69" w:rsidRPr="009810C7">
        <w:rPr>
          <w:rFonts w:ascii="Garamond" w:hAnsi="Garamond"/>
          <w:sz w:val="26"/>
          <w:szCs w:val="26"/>
        </w:rPr>
        <w:t>:</w:t>
      </w:r>
      <w:r w:rsidR="00113818" w:rsidRPr="009810C7">
        <w:rPr>
          <w:rFonts w:ascii="Garamond" w:hAnsi="Garamond"/>
          <w:sz w:val="26"/>
          <w:szCs w:val="26"/>
        </w:rPr>
        <w:t xml:space="preserve"> necesidad de evitar daños inminentes y graves a las personas y a las cosas, supuestos de catástrofe, calamidad, ruina inminente u otros semejantes de extrema y urgente necesidad.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3D4220" w:rsidRPr="009810C7" w:rsidRDefault="002926E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Identificación de personas</w:t>
      </w:r>
      <w:r w:rsidR="00F65B69" w:rsidRPr="009810C7">
        <w:rPr>
          <w:rFonts w:ascii="Garamond" w:hAnsi="Garamond"/>
          <w:b/>
          <w:sz w:val="26"/>
          <w:szCs w:val="26"/>
        </w:rPr>
        <w:t>.</w:t>
      </w:r>
      <w:r w:rsidR="00F65B69" w:rsidRPr="009810C7">
        <w:rPr>
          <w:rFonts w:ascii="Garamond" w:hAnsi="Garamond"/>
          <w:sz w:val="26"/>
          <w:szCs w:val="26"/>
        </w:rPr>
        <w:t xml:space="preserve"> Para exigir la identificación de cualquier ciudadano, l</w:t>
      </w:r>
      <w:r w:rsidR="00113818" w:rsidRPr="009810C7">
        <w:rPr>
          <w:rFonts w:ascii="Garamond" w:hAnsi="Garamond"/>
          <w:sz w:val="26"/>
          <w:szCs w:val="26"/>
        </w:rPr>
        <w:t xml:space="preserve">os agentes </w:t>
      </w:r>
      <w:r w:rsidR="00B63170" w:rsidRPr="009810C7">
        <w:rPr>
          <w:rFonts w:ascii="Garamond" w:hAnsi="Garamond"/>
          <w:sz w:val="26"/>
          <w:szCs w:val="26"/>
        </w:rPr>
        <w:t>deben considerar</w:t>
      </w:r>
      <w:r w:rsidR="00113818" w:rsidRPr="009810C7">
        <w:rPr>
          <w:rFonts w:ascii="Garamond" w:hAnsi="Garamond"/>
          <w:sz w:val="26"/>
          <w:szCs w:val="26"/>
        </w:rPr>
        <w:t xml:space="preserve"> que existen indicios de que </w:t>
      </w:r>
      <w:r w:rsidR="00B63170" w:rsidRPr="009810C7">
        <w:rPr>
          <w:rFonts w:ascii="Garamond" w:hAnsi="Garamond"/>
          <w:sz w:val="26"/>
          <w:szCs w:val="26"/>
        </w:rPr>
        <w:t>el requerido ha</w:t>
      </w:r>
      <w:r w:rsidR="003D4220" w:rsidRPr="009810C7">
        <w:rPr>
          <w:rFonts w:ascii="Garamond" w:hAnsi="Garamond"/>
          <w:sz w:val="26"/>
          <w:szCs w:val="26"/>
        </w:rPr>
        <w:t xml:space="preserve">ya podido cometer una </w:t>
      </w:r>
      <w:r w:rsidR="00113818" w:rsidRPr="009810C7">
        <w:rPr>
          <w:rFonts w:ascii="Garamond" w:hAnsi="Garamond"/>
          <w:sz w:val="26"/>
          <w:szCs w:val="26"/>
        </w:rPr>
        <w:t>infracció</w:t>
      </w:r>
      <w:r w:rsidR="00B63170" w:rsidRPr="009810C7">
        <w:rPr>
          <w:rFonts w:ascii="Garamond" w:hAnsi="Garamond"/>
          <w:sz w:val="26"/>
          <w:szCs w:val="26"/>
        </w:rPr>
        <w:t xml:space="preserve">n; o </w:t>
      </w:r>
      <w:r w:rsidR="00113818" w:rsidRPr="009810C7">
        <w:rPr>
          <w:rFonts w:ascii="Garamond" w:hAnsi="Garamond"/>
          <w:sz w:val="26"/>
          <w:szCs w:val="26"/>
        </w:rPr>
        <w:t>para p</w:t>
      </w:r>
      <w:r w:rsidR="00B63170" w:rsidRPr="009810C7">
        <w:rPr>
          <w:rFonts w:ascii="Garamond" w:hAnsi="Garamond"/>
          <w:sz w:val="26"/>
          <w:szCs w:val="26"/>
        </w:rPr>
        <w:t>revenir l</w:t>
      </w:r>
      <w:r w:rsidR="003D4220" w:rsidRPr="009810C7">
        <w:rPr>
          <w:rFonts w:ascii="Garamond" w:hAnsi="Garamond"/>
          <w:sz w:val="26"/>
          <w:szCs w:val="26"/>
        </w:rPr>
        <w:t>a comisión de un delito</w:t>
      </w:r>
      <w:r w:rsidR="00F65B69" w:rsidRPr="009810C7">
        <w:rPr>
          <w:rFonts w:ascii="Garamond" w:hAnsi="Garamond"/>
          <w:sz w:val="26"/>
          <w:szCs w:val="26"/>
        </w:rPr>
        <w:t xml:space="preserve">. </w:t>
      </w:r>
      <w:r w:rsidR="003D4220" w:rsidRPr="009810C7">
        <w:rPr>
          <w:rFonts w:ascii="Garamond" w:hAnsi="Garamond"/>
          <w:sz w:val="26"/>
          <w:szCs w:val="26"/>
        </w:rPr>
        <w:t>Se i</w:t>
      </w:r>
      <w:r w:rsidR="00113818" w:rsidRPr="009810C7">
        <w:rPr>
          <w:rFonts w:ascii="Garamond" w:hAnsi="Garamond"/>
          <w:sz w:val="26"/>
          <w:szCs w:val="26"/>
        </w:rPr>
        <w:t>ncluye</w:t>
      </w:r>
      <w:r w:rsidR="003D4220" w:rsidRPr="009810C7">
        <w:rPr>
          <w:rFonts w:ascii="Garamond" w:hAnsi="Garamond"/>
          <w:sz w:val="26"/>
          <w:szCs w:val="26"/>
        </w:rPr>
        <w:t>n</w:t>
      </w:r>
      <w:r w:rsidR="00113818" w:rsidRPr="009810C7">
        <w:rPr>
          <w:rFonts w:ascii="Garamond" w:hAnsi="Garamond"/>
          <w:sz w:val="26"/>
          <w:szCs w:val="26"/>
        </w:rPr>
        <w:t xml:space="preserve"> una serie de principios que deberán respetarse en la pr</w:t>
      </w:r>
      <w:r w:rsidR="003D4220" w:rsidRPr="009810C7">
        <w:rPr>
          <w:rFonts w:ascii="Garamond" w:hAnsi="Garamond"/>
          <w:sz w:val="26"/>
          <w:szCs w:val="26"/>
        </w:rPr>
        <w:t xml:space="preserve">áctica de las identificaciones: </w:t>
      </w:r>
      <w:r w:rsidR="00113818" w:rsidRPr="009810C7">
        <w:rPr>
          <w:rFonts w:ascii="Garamond" w:hAnsi="Garamond"/>
          <w:sz w:val="26"/>
          <w:szCs w:val="26"/>
        </w:rPr>
        <w:t>principios de proporcionalidad, de igualdad de trato y no discriminación por razón de nacimiento, nacionalidad, origen racial o étnico, sexo, religión o creencias, edad, discapacidad, orientación o identidad sexual, opinión o cualquier otra condición o circunstancia personal o social</w:t>
      </w:r>
      <w:r w:rsidR="002D07E0" w:rsidRPr="009810C7">
        <w:rPr>
          <w:rFonts w:ascii="Garamond" w:hAnsi="Garamond"/>
          <w:sz w:val="26"/>
          <w:szCs w:val="26"/>
        </w:rPr>
        <w:t>.</w:t>
      </w:r>
      <w:r w:rsidR="00113818" w:rsidRPr="009810C7">
        <w:rPr>
          <w:rFonts w:ascii="Garamond" w:hAnsi="Garamond"/>
          <w:sz w:val="26"/>
          <w:szCs w:val="26"/>
        </w:rPr>
        <w:t xml:space="preserve"> </w:t>
      </w:r>
      <w:r w:rsidR="003D4220" w:rsidRPr="009810C7">
        <w:rPr>
          <w:rFonts w:ascii="Garamond" w:hAnsi="Garamond"/>
          <w:sz w:val="26"/>
          <w:szCs w:val="26"/>
        </w:rPr>
        <w:t>Se permite</w:t>
      </w:r>
      <w:r w:rsidR="00113818" w:rsidRPr="009810C7">
        <w:rPr>
          <w:rFonts w:ascii="Garamond" w:hAnsi="Garamond"/>
          <w:sz w:val="26"/>
          <w:szCs w:val="26"/>
        </w:rPr>
        <w:t xml:space="preserve"> realizar las identificaciones por vía telefónica o </w:t>
      </w:r>
      <w:r w:rsidR="002D07E0" w:rsidRPr="009810C7">
        <w:rPr>
          <w:rFonts w:ascii="Garamond" w:hAnsi="Garamond"/>
          <w:sz w:val="26"/>
          <w:szCs w:val="26"/>
        </w:rPr>
        <w:t xml:space="preserve">telemática, </w:t>
      </w:r>
      <w:r w:rsidR="00113818" w:rsidRPr="009810C7">
        <w:rPr>
          <w:rFonts w:ascii="Garamond" w:hAnsi="Garamond"/>
          <w:sz w:val="26"/>
          <w:szCs w:val="26"/>
        </w:rPr>
        <w:t>y se exige que a la persona a la que se va a solicitar la identificación, se le informe de modo inmediato y comprensible de las razones de dicha solicitud y, en su caso, del requerimiento para que acompañe a los agente</w:t>
      </w:r>
      <w:r w:rsidR="002D07E0" w:rsidRPr="009810C7">
        <w:rPr>
          <w:rFonts w:ascii="Garamond" w:hAnsi="Garamond"/>
          <w:sz w:val="26"/>
          <w:szCs w:val="26"/>
        </w:rPr>
        <w:t xml:space="preserve">s a las dependencias policiales. </w:t>
      </w:r>
      <w:r w:rsidR="00113818" w:rsidRPr="009810C7">
        <w:rPr>
          <w:rFonts w:ascii="Garamond" w:hAnsi="Garamond"/>
          <w:sz w:val="26"/>
          <w:szCs w:val="26"/>
        </w:rPr>
        <w:t>Se mantienen los supuestos en que se requerirá a la pe</w:t>
      </w:r>
      <w:r w:rsidR="003D4220" w:rsidRPr="009810C7">
        <w:rPr>
          <w:rFonts w:ascii="Garamond" w:hAnsi="Garamond"/>
          <w:sz w:val="26"/>
          <w:szCs w:val="26"/>
        </w:rPr>
        <w:t>rsona</w:t>
      </w:r>
      <w:r w:rsidR="00113818" w:rsidRPr="009810C7">
        <w:rPr>
          <w:rFonts w:ascii="Garamond" w:hAnsi="Garamond"/>
          <w:sz w:val="26"/>
          <w:szCs w:val="26"/>
        </w:rPr>
        <w:t xml:space="preserve"> que acompañe a los agentes a una dependencia policial a efectos de identificación</w:t>
      </w:r>
      <w:r w:rsidR="003D4220" w:rsidRPr="009810C7">
        <w:rPr>
          <w:rFonts w:ascii="Garamond" w:hAnsi="Garamond"/>
          <w:sz w:val="26"/>
          <w:szCs w:val="26"/>
        </w:rPr>
        <w:t xml:space="preserve">: </w:t>
      </w:r>
      <w:r w:rsidR="00113818" w:rsidRPr="009810C7">
        <w:rPr>
          <w:rFonts w:ascii="Garamond" w:hAnsi="Garamond"/>
          <w:sz w:val="26"/>
          <w:szCs w:val="26"/>
        </w:rPr>
        <w:t>impedir la comisión de un de</w:t>
      </w:r>
      <w:r w:rsidR="003D4220" w:rsidRPr="009810C7">
        <w:rPr>
          <w:rFonts w:ascii="Garamond" w:hAnsi="Garamond"/>
          <w:sz w:val="26"/>
          <w:szCs w:val="26"/>
        </w:rPr>
        <w:t>lito o sancionar una infracción</w:t>
      </w:r>
      <w:r w:rsidR="00113818" w:rsidRPr="009810C7">
        <w:rPr>
          <w:rFonts w:ascii="Garamond" w:hAnsi="Garamond"/>
          <w:sz w:val="26"/>
          <w:szCs w:val="26"/>
        </w:rPr>
        <w:t>. Esta retención a efectos de ident</w:t>
      </w:r>
      <w:r w:rsidR="003D4220" w:rsidRPr="009810C7">
        <w:rPr>
          <w:rFonts w:ascii="Garamond" w:hAnsi="Garamond"/>
          <w:sz w:val="26"/>
          <w:szCs w:val="26"/>
        </w:rPr>
        <w:t>ificación</w:t>
      </w:r>
      <w:r w:rsidR="00113818" w:rsidRPr="009810C7">
        <w:rPr>
          <w:rFonts w:ascii="Garamond" w:hAnsi="Garamond"/>
          <w:sz w:val="26"/>
          <w:szCs w:val="26"/>
        </w:rPr>
        <w:t xml:space="preserve"> tendrá una duración máxima de 6 horas y, una vez realizada, al ciudadano retenido se le expedirá un volante acreditativo del tiempo de estancia en comisaría, la causa de la identificación y la identidad de los agentes actuantes. </w:t>
      </w:r>
      <w:r w:rsidR="003D4220" w:rsidRPr="009810C7">
        <w:rPr>
          <w:rFonts w:ascii="Garamond" w:hAnsi="Garamond"/>
          <w:sz w:val="26"/>
          <w:szCs w:val="26"/>
        </w:rPr>
        <w:t>Se prevé la creación de un Libro-Registro en el que se docum</w:t>
      </w:r>
      <w:r w:rsidR="00C43CD3" w:rsidRPr="009810C7">
        <w:rPr>
          <w:rFonts w:ascii="Garamond" w:hAnsi="Garamond"/>
          <w:sz w:val="26"/>
          <w:szCs w:val="26"/>
        </w:rPr>
        <w:t>entarán las identificacio</w:t>
      </w:r>
      <w:r w:rsidR="003D4220" w:rsidRPr="009810C7">
        <w:rPr>
          <w:rFonts w:ascii="Garamond" w:hAnsi="Garamond"/>
          <w:sz w:val="26"/>
          <w:szCs w:val="26"/>
        </w:rPr>
        <w:t>n</w:t>
      </w:r>
      <w:r w:rsidR="00C43CD3" w:rsidRPr="009810C7">
        <w:rPr>
          <w:rFonts w:ascii="Garamond" w:hAnsi="Garamond"/>
          <w:sz w:val="26"/>
          <w:szCs w:val="26"/>
        </w:rPr>
        <w:t>es</w:t>
      </w:r>
      <w:r w:rsidR="003D4220" w:rsidRPr="009810C7">
        <w:rPr>
          <w:rFonts w:ascii="Garamond" w:hAnsi="Garamond"/>
          <w:sz w:val="26"/>
          <w:szCs w:val="26"/>
        </w:rPr>
        <w:t xml:space="preserve"> practicadas, así como los motivos, circunstancias y duración de las mismas, y sólo podrán ser comunicados sus datos a la autoridad judicial competente y al Ministerio Fiscal.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9133BD" w:rsidRPr="009810C7" w:rsidRDefault="002926E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Restricción del tránsito y controles en las vías públicas.</w:t>
      </w:r>
      <w:r w:rsidRPr="009810C7">
        <w:rPr>
          <w:rFonts w:ascii="Garamond" w:hAnsi="Garamond"/>
          <w:sz w:val="26"/>
          <w:szCs w:val="26"/>
        </w:rPr>
        <w:t xml:space="preserve"> S</w:t>
      </w:r>
      <w:r w:rsidR="003D4220" w:rsidRPr="009810C7">
        <w:rPr>
          <w:rFonts w:ascii="Garamond" w:hAnsi="Garamond"/>
          <w:sz w:val="26"/>
          <w:szCs w:val="26"/>
        </w:rPr>
        <w:t xml:space="preserve">e establece </w:t>
      </w:r>
      <w:r w:rsidR="009133BD" w:rsidRPr="009810C7">
        <w:rPr>
          <w:rFonts w:ascii="Garamond" w:hAnsi="Garamond"/>
          <w:sz w:val="26"/>
          <w:szCs w:val="26"/>
        </w:rPr>
        <w:t>la posibilidad de establecer zonas de seguridad, en supuestos de alteración de la seguridad ciudadana o de la pacífica convivencia</w:t>
      </w:r>
      <w:r w:rsidRPr="009810C7">
        <w:rPr>
          <w:rFonts w:ascii="Garamond" w:hAnsi="Garamond"/>
          <w:sz w:val="26"/>
          <w:szCs w:val="26"/>
        </w:rPr>
        <w:t xml:space="preserve"> o cuando existan indicios racionales de que pueda producirse dicha alteración. Además, p</w:t>
      </w:r>
      <w:r w:rsidR="009133BD" w:rsidRPr="009810C7">
        <w:rPr>
          <w:rFonts w:ascii="Garamond" w:hAnsi="Garamond"/>
          <w:sz w:val="26"/>
          <w:szCs w:val="26"/>
        </w:rPr>
        <w:t xml:space="preserve">ara la prevención de delitos de especial gravedad o generadores de alarma social, así como para el descubrimiento y detención de quienes hubieran participado en su comisión y proceder a la recogida de los instrumentos, efectos o pruebas, se podrán establecer controles en las vías, lugares o establecimientos públicos, siempre que resulte </w:t>
      </w:r>
      <w:r w:rsidR="009133BD" w:rsidRPr="009810C7">
        <w:rPr>
          <w:rFonts w:ascii="Garamond" w:hAnsi="Garamond"/>
          <w:sz w:val="26"/>
          <w:szCs w:val="26"/>
        </w:rPr>
        <w:lastRenderedPageBreak/>
        <w:t>indispensable proceder a la identificación de personas que se encuentren en ellos, al registro de vehículos o al control superficial de efectos personales.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9133BD" w:rsidRPr="009810C7" w:rsidRDefault="00113818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Comprobaciones</w:t>
      </w:r>
      <w:r w:rsidR="002926EE" w:rsidRPr="009810C7">
        <w:rPr>
          <w:rFonts w:ascii="Garamond" w:hAnsi="Garamond"/>
          <w:b/>
          <w:sz w:val="26"/>
          <w:szCs w:val="26"/>
        </w:rPr>
        <w:t xml:space="preserve"> y registros en lugares públicos</w:t>
      </w:r>
      <w:r w:rsidR="002926EE" w:rsidRPr="009810C7">
        <w:rPr>
          <w:rFonts w:ascii="Garamond" w:hAnsi="Garamond"/>
          <w:sz w:val="26"/>
          <w:szCs w:val="26"/>
        </w:rPr>
        <w:t>.</w:t>
      </w:r>
      <w:r w:rsidRPr="009810C7">
        <w:rPr>
          <w:rFonts w:ascii="Garamond" w:hAnsi="Garamond"/>
          <w:sz w:val="26"/>
          <w:szCs w:val="26"/>
        </w:rPr>
        <w:t xml:space="preserve"> </w:t>
      </w:r>
      <w:r w:rsidR="00227331" w:rsidRPr="009810C7">
        <w:rPr>
          <w:rFonts w:ascii="Garamond" w:hAnsi="Garamond"/>
          <w:sz w:val="26"/>
          <w:szCs w:val="26"/>
        </w:rPr>
        <w:t xml:space="preserve">Los agentes de la autoridad podrán practicar las comprobaciones en las personas, bienes y vehículos que sean necesarias para impedir que en las vías, lugares y establecimientos públicos se porten o utilicen ilegalmente armas, explosivos, sustancias peligrosas u otros objetos, instrumentos o medios que generen un riesgo potencialmente grave para las personas, susceptibles de ser utilizados para la comisión de un delito o alterar la seguridad ciudadana, cuando tengan indicios de su eventual presencia en dichos lugares, procediendo, en su caso, a su intervención. </w:t>
      </w:r>
      <w:r w:rsidRPr="009810C7">
        <w:rPr>
          <w:rFonts w:ascii="Garamond" w:hAnsi="Garamond"/>
          <w:sz w:val="26"/>
          <w:szCs w:val="26"/>
        </w:rPr>
        <w:t xml:space="preserve"> </w:t>
      </w:r>
      <w:r w:rsidR="002926EE" w:rsidRPr="009810C7">
        <w:rPr>
          <w:rFonts w:ascii="Garamond" w:hAnsi="Garamond"/>
          <w:sz w:val="26"/>
          <w:szCs w:val="26"/>
        </w:rPr>
        <w:t xml:space="preserve">Se </w:t>
      </w:r>
      <w:r w:rsidRPr="009810C7">
        <w:rPr>
          <w:rFonts w:ascii="Garamond" w:hAnsi="Garamond"/>
          <w:sz w:val="26"/>
          <w:szCs w:val="26"/>
        </w:rPr>
        <w:t>incluye el deber de colabo</w:t>
      </w:r>
      <w:r w:rsidR="002926EE" w:rsidRPr="009810C7">
        <w:rPr>
          <w:rFonts w:ascii="Garamond" w:hAnsi="Garamond"/>
          <w:sz w:val="26"/>
          <w:szCs w:val="26"/>
        </w:rPr>
        <w:t>ración ciudadana.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C61BF5" w:rsidRPr="009810C7" w:rsidRDefault="002926E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Disposiciones comunes a las diligencias de identificación, registro y comprobación.</w:t>
      </w:r>
      <w:r w:rsidRPr="009810C7">
        <w:rPr>
          <w:rFonts w:ascii="Garamond" w:hAnsi="Garamond"/>
          <w:sz w:val="26"/>
          <w:szCs w:val="26"/>
        </w:rPr>
        <w:t xml:space="preserve"> </w:t>
      </w:r>
      <w:r w:rsidR="00BE3F12" w:rsidRPr="009810C7">
        <w:rPr>
          <w:rFonts w:ascii="Garamond" w:hAnsi="Garamond"/>
          <w:sz w:val="26"/>
          <w:szCs w:val="26"/>
        </w:rPr>
        <w:t>Se señala expresamente que las identificaciones no están sujetas a las mismas formalidades que la detención.</w:t>
      </w:r>
      <w:r w:rsidR="00D15472" w:rsidRPr="009810C7">
        <w:rPr>
          <w:rFonts w:ascii="Garamond" w:hAnsi="Garamond"/>
          <w:sz w:val="26"/>
          <w:szCs w:val="26"/>
        </w:rPr>
        <w:t xml:space="preserve"> </w:t>
      </w:r>
      <w:r w:rsidR="00BE3F12" w:rsidRPr="009810C7">
        <w:rPr>
          <w:rFonts w:ascii="Garamond" w:hAnsi="Garamond"/>
          <w:sz w:val="26"/>
          <w:szCs w:val="26"/>
        </w:rPr>
        <w:t xml:space="preserve">Por otro lado, </w:t>
      </w:r>
      <w:r w:rsidR="00113818" w:rsidRPr="009810C7">
        <w:rPr>
          <w:rFonts w:ascii="Garamond" w:hAnsi="Garamond"/>
          <w:sz w:val="26"/>
          <w:szCs w:val="26"/>
        </w:rPr>
        <w:t>las diligencias de registro e identificación de armas, drogas, o efectos proced</w:t>
      </w:r>
      <w:r w:rsidR="00C61BF5" w:rsidRPr="009810C7">
        <w:rPr>
          <w:rFonts w:ascii="Garamond" w:hAnsi="Garamond"/>
          <w:sz w:val="26"/>
          <w:szCs w:val="26"/>
        </w:rPr>
        <w:t xml:space="preserve">entes de un delito se extenderán </w:t>
      </w:r>
      <w:r w:rsidR="00113818" w:rsidRPr="009810C7">
        <w:rPr>
          <w:rFonts w:ascii="Garamond" w:hAnsi="Garamond"/>
          <w:sz w:val="26"/>
          <w:szCs w:val="26"/>
        </w:rPr>
        <w:t>en un acta que gozará de presunción de veracidad</w:t>
      </w:r>
      <w:r w:rsidR="00C61BF5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167B6" w:rsidRPr="009810C7" w:rsidRDefault="002926E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 xml:space="preserve">Registros corporales externos. </w:t>
      </w:r>
      <w:r w:rsidR="00BE3F12" w:rsidRPr="009810C7">
        <w:rPr>
          <w:rFonts w:ascii="Garamond" w:hAnsi="Garamond"/>
          <w:sz w:val="26"/>
          <w:szCs w:val="26"/>
        </w:rPr>
        <w:t xml:space="preserve"> Se incluye </w:t>
      </w:r>
      <w:r w:rsidR="00113818" w:rsidRPr="009810C7">
        <w:rPr>
          <w:rFonts w:ascii="Garamond" w:hAnsi="Garamond"/>
          <w:sz w:val="26"/>
          <w:szCs w:val="26"/>
        </w:rPr>
        <w:t xml:space="preserve">por primera vez en esta ley ciertos criterios para practicar un registro y los principios que deben respetarse en esos casos, </w:t>
      </w:r>
      <w:r w:rsidR="00C61BF5" w:rsidRPr="009810C7">
        <w:rPr>
          <w:rFonts w:ascii="Garamond" w:hAnsi="Garamond"/>
          <w:sz w:val="26"/>
          <w:szCs w:val="26"/>
        </w:rPr>
        <w:t xml:space="preserve"> </w:t>
      </w:r>
      <w:r w:rsidR="006D6E4B" w:rsidRPr="009810C7">
        <w:rPr>
          <w:rFonts w:ascii="Garamond" w:hAnsi="Garamond"/>
          <w:sz w:val="26"/>
          <w:szCs w:val="26"/>
        </w:rPr>
        <w:t>aunque</w:t>
      </w:r>
      <w:r w:rsidR="00C61BF5" w:rsidRPr="009810C7">
        <w:rPr>
          <w:rFonts w:ascii="Garamond" w:hAnsi="Garamond"/>
          <w:sz w:val="26"/>
          <w:szCs w:val="26"/>
        </w:rPr>
        <w:t xml:space="preserve"> estos preceptos ya se encontraban recogidos en otras leyes, principalmente en la LO 2/86, de 13 de marzo</w:t>
      </w:r>
      <w:r w:rsidR="004167B6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C61BF5" w:rsidRPr="009810C7" w:rsidRDefault="00113818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Medid</w:t>
      </w:r>
      <w:r w:rsidR="002926EE" w:rsidRPr="009810C7">
        <w:rPr>
          <w:rFonts w:ascii="Garamond" w:hAnsi="Garamond"/>
          <w:b/>
          <w:sz w:val="26"/>
          <w:szCs w:val="26"/>
        </w:rPr>
        <w:t>as de seguridad extraordinarias.</w:t>
      </w:r>
      <w:r w:rsidRPr="009810C7">
        <w:rPr>
          <w:rFonts w:ascii="Garamond" w:hAnsi="Garamond"/>
          <w:b/>
          <w:sz w:val="26"/>
          <w:szCs w:val="26"/>
        </w:rPr>
        <w:t xml:space="preserve"> </w:t>
      </w:r>
      <w:r w:rsidR="002926EE" w:rsidRPr="009810C7">
        <w:rPr>
          <w:rFonts w:ascii="Garamond" w:hAnsi="Garamond"/>
          <w:sz w:val="26"/>
          <w:szCs w:val="26"/>
        </w:rPr>
        <w:t>S</w:t>
      </w:r>
      <w:r w:rsidRPr="009810C7">
        <w:rPr>
          <w:rFonts w:ascii="Garamond" w:hAnsi="Garamond"/>
          <w:sz w:val="26"/>
          <w:szCs w:val="26"/>
        </w:rPr>
        <w:t xml:space="preserve">e </w:t>
      </w:r>
      <w:r w:rsidR="006D6E4B" w:rsidRPr="009810C7">
        <w:rPr>
          <w:rFonts w:ascii="Garamond" w:hAnsi="Garamond"/>
          <w:sz w:val="26"/>
          <w:szCs w:val="26"/>
        </w:rPr>
        <w:t xml:space="preserve">incluyen, por primera vez, </w:t>
      </w:r>
      <w:r w:rsidRPr="009810C7">
        <w:rPr>
          <w:rFonts w:ascii="Garamond" w:hAnsi="Garamond"/>
          <w:sz w:val="26"/>
          <w:szCs w:val="26"/>
        </w:rPr>
        <w:t>l</w:t>
      </w:r>
      <w:r w:rsidR="006D6E4B" w:rsidRPr="009810C7">
        <w:rPr>
          <w:rFonts w:ascii="Garamond" w:hAnsi="Garamond"/>
          <w:sz w:val="26"/>
          <w:szCs w:val="26"/>
        </w:rPr>
        <w:t>a prohibición de paso</w:t>
      </w:r>
      <w:r w:rsidR="004A449B" w:rsidRPr="009810C7">
        <w:rPr>
          <w:rFonts w:ascii="Garamond" w:hAnsi="Garamond"/>
          <w:sz w:val="26"/>
          <w:szCs w:val="26"/>
        </w:rPr>
        <w:t xml:space="preserve"> y el depó</w:t>
      </w:r>
      <w:r w:rsidRPr="009810C7">
        <w:rPr>
          <w:rFonts w:ascii="Garamond" w:hAnsi="Garamond"/>
          <w:sz w:val="26"/>
          <w:szCs w:val="26"/>
        </w:rPr>
        <w:t>sito de sustancias susceptibles d</w:t>
      </w:r>
      <w:r w:rsidR="006D6E4B" w:rsidRPr="009810C7">
        <w:rPr>
          <w:rFonts w:ascii="Garamond" w:hAnsi="Garamond"/>
          <w:sz w:val="26"/>
          <w:szCs w:val="26"/>
        </w:rPr>
        <w:t xml:space="preserve">e ser empleadas como explosivos. Se </w:t>
      </w:r>
      <w:r w:rsidRPr="009810C7">
        <w:rPr>
          <w:rFonts w:ascii="Garamond" w:hAnsi="Garamond"/>
          <w:sz w:val="26"/>
          <w:szCs w:val="26"/>
        </w:rPr>
        <w:t>permite que estas medidas puedan ser adoptadas por los agentes de la autoridad, incluso mediante órdenes verbales si la urgencia de la situación lo hace imprescindible</w:t>
      </w:r>
      <w:r w:rsidR="00C61BF5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113818" w:rsidRPr="009810C7" w:rsidRDefault="002926E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Uso de videocámaras.</w:t>
      </w:r>
      <w:r w:rsidRPr="009810C7">
        <w:rPr>
          <w:rFonts w:ascii="Garamond" w:hAnsi="Garamond"/>
          <w:sz w:val="26"/>
          <w:szCs w:val="26"/>
        </w:rPr>
        <w:t xml:space="preserve"> A</w:t>
      </w:r>
      <w:r w:rsidR="00113818" w:rsidRPr="009810C7">
        <w:rPr>
          <w:rFonts w:ascii="Garamond" w:hAnsi="Garamond"/>
          <w:sz w:val="26"/>
          <w:szCs w:val="26"/>
        </w:rPr>
        <w:t>unque es la primera vez que se menciona el uso de videocámaras en esta ley, el contenido del artículo no es novedoso al remit</w:t>
      </w:r>
      <w:r w:rsidR="00C61BF5" w:rsidRPr="009810C7">
        <w:rPr>
          <w:rFonts w:ascii="Garamond" w:hAnsi="Garamond"/>
          <w:sz w:val="26"/>
          <w:szCs w:val="26"/>
        </w:rPr>
        <w:t>irse a la legislación existente</w:t>
      </w:r>
      <w:r w:rsidR="00113818" w:rsidRPr="009810C7">
        <w:rPr>
          <w:rFonts w:ascii="Garamond" w:hAnsi="Garamond"/>
          <w:sz w:val="26"/>
          <w:szCs w:val="26"/>
        </w:rPr>
        <w:t xml:space="preserve"> </w:t>
      </w:r>
      <w:r w:rsidR="00C61BF5" w:rsidRPr="009810C7">
        <w:rPr>
          <w:rFonts w:ascii="Garamond" w:hAnsi="Garamond"/>
          <w:sz w:val="26"/>
          <w:szCs w:val="26"/>
        </w:rPr>
        <w:t>(</w:t>
      </w:r>
      <w:r w:rsidR="00113818" w:rsidRPr="009810C7">
        <w:rPr>
          <w:rFonts w:ascii="Garamond" w:hAnsi="Garamond"/>
          <w:sz w:val="26"/>
          <w:szCs w:val="26"/>
        </w:rPr>
        <w:t>la Ley Orgánica 4/1997</w:t>
      </w:r>
      <w:r w:rsidR="00C61BF5" w:rsidRPr="009810C7">
        <w:rPr>
          <w:rFonts w:ascii="Garamond" w:hAnsi="Garamond"/>
          <w:sz w:val="26"/>
          <w:szCs w:val="26"/>
        </w:rPr>
        <w:t>)</w:t>
      </w:r>
      <w:r w:rsidR="00113818" w:rsidRPr="009810C7">
        <w:rPr>
          <w:rFonts w:ascii="Garamond" w:hAnsi="Garamond"/>
          <w:sz w:val="26"/>
          <w:szCs w:val="26"/>
        </w:rPr>
        <w:t>, por la que se regula la utilización de videocámaras por las fuerzas y cuerpos d</w:t>
      </w:r>
      <w:r w:rsidR="002461B8" w:rsidRPr="009810C7">
        <w:rPr>
          <w:rFonts w:ascii="Garamond" w:hAnsi="Garamond"/>
          <w:sz w:val="26"/>
          <w:szCs w:val="26"/>
        </w:rPr>
        <w:t>e seguridad en lugares públicos.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15472" w:rsidRPr="009810C7" w:rsidRDefault="00D15472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En cuanto al mantenimiento y restablecimiento de la seguridad ciudadana en reuniones y manifestaciones: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53D4B" w:rsidRPr="009810C7" w:rsidRDefault="006D6E4B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Se </w:t>
      </w:r>
      <w:r w:rsidR="00D15472" w:rsidRPr="009810C7">
        <w:rPr>
          <w:rFonts w:ascii="Garamond" w:hAnsi="Garamond"/>
          <w:sz w:val="26"/>
          <w:szCs w:val="26"/>
        </w:rPr>
        <w:t>prevé que antes de adoptar las medidas precisas para la disolución de reuniones y manifestaciones, los agentes deberán avisar a las personas afectadas, pudiendo realizarse verbalmente si la urgencia de la situación lo hiciera imprescindible. Se permite a los agentes disolver éstas cuando se produzca una alteración de la seguridad ciudadana, con armas, artefactos explosivos, u objet</w:t>
      </w:r>
      <w:r w:rsidRPr="009810C7">
        <w:rPr>
          <w:rFonts w:ascii="Garamond" w:hAnsi="Garamond"/>
          <w:sz w:val="26"/>
          <w:szCs w:val="26"/>
        </w:rPr>
        <w:t>os contundentes o</w:t>
      </w:r>
      <w:r w:rsidR="00D15472" w:rsidRPr="009810C7">
        <w:rPr>
          <w:rFonts w:ascii="Garamond" w:hAnsi="Garamond"/>
          <w:sz w:val="26"/>
          <w:szCs w:val="26"/>
        </w:rPr>
        <w:t xml:space="preserve"> peligrosos.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167B6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lastRenderedPageBreak/>
        <w:t>4.</w:t>
      </w:r>
      <w:r w:rsidRPr="009810C7">
        <w:rPr>
          <w:rFonts w:ascii="Garamond" w:hAnsi="Garamond"/>
          <w:sz w:val="26"/>
          <w:szCs w:val="26"/>
        </w:rPr>
        <w:t xml:space="preserve"> </w:t>
      </w:r>
      <w:r w:rsidR="003C4B9C" w:rsidRPr="009810C7">
        <w:rPr>
          <w:rFonts w:ascii="Garamond" w:hAnsi="Garamond"/>
          <w:sz w:val="26"/>
          <w:szCs w:val="26"/>
        </w:rPr>
        <w:t xml:space="preserve">El Capítulo IV, denominado “Potestades especiales de la policía administrativa de seguridad”, se regulan: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6D6E4B" w:rsidRPr="009810C7" w:rsidRDefault="00D15472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Obli</w:t>
      </w:r>
      <w:r w:rsidR="007A7243" w:rsidRPr="009810C7">
        <w:rPr>
          <w:rFonts w:ascii="Garamond" w:hAnsi="Garamond"/>
          <w:b/>
          <w:sz w:val="26"/>
          <w:szCs w:val="26"/>
        </w:rPr>
        <w:t>gaciones de registro documental.</w:t>
      </w:r>
      <w:r w:rsidR="007A7243" w:rsidRPr="009810C7">
        <w:rPr>
          <w:rFonts w:ascii="Garamond" w:hAnsi="Garamond"/>
          <w:sz w:val="26"/>
          <w:szCs w:val="26"/>
        </w:rPr>
        <w:t xml:space="preserve"> </w:t>
      </w:r>
      <w:r w:rsidR="006D6E4B" w:rsidRPr="009810C7">
        <w:rPr>
          <w:rFonts w:ascii="Garamond" w:hAnsi="Garamond"/>
          <w:sz w:val="26"/>
          <w:szCs w:val="26"/>
        </w:rPr>
        <w:t>Se dispone que deberán</w:t>
      </w:r>
      <w:r w:rsidRPr="009810C7">
        <w:rPr>
          <w:rFonts w:ascii="Garamond" w:hAnsi="Garamond"/>
          <w:sz w:val="26"/>
          <w:szCs w:val="26"/>
        </w:rPr>
        <w:t xml:space="preserve"> llevar a cabo actuaciones de registro </w:t>
      </w:r>
      <w:r w:rsidR="006D6E4B" w:rsidRPr="009810C7">
        <w:rPr>
          <w:rFonts w:ascii="Garamond" w:hAnsi="Garamond"/>
          <w:sz w:val="26"/>
          <w:szCs w:val="26"/>
        </w:rPr>
        <w:t>documental e información “l</w:t>
      </w:r>
      <w:r w:rsidRPr="009810C7">
        <w:rPr>
          <w:rFonts w:ascii="Garamond" w:hAnsi="Garamond"/>
          <w:sz w:val="26"/>
          <w:szCs w:val="26"/>
        </w:rPr>
        <w:t>as personas naturales o jurídicas que desarrollen actividades relevantes para la seguridad ciudadana, como las de hospedaje, comercio o reparación de objetos usados, el alquiler o el desguace de vehículos de motor, o la compraven</w:t>
      </w:r>
      <w:r w:rsidR="006D6E4B" w:rsidRPr="009810C7">
        <w:rPr>
          <w:rFonts w:ascii="Garamond" w:hAnsi="Garamond"/>
          <w:sz w:val="26"/>
          <w:szCs w:val="26"/>
        </w:rPr>
        <w:t>ta de joyas y metales preciosos, objetos u obras de arte, cerrajería de seguridad, centros gestores de residuos metálicos, establecimientos de comercio al por mayor de chatarra o productos de desecho, o de venta de productos químicos peligrosos a particulares”.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D15472" w:rsidRPr="009810C7" w:rsidRDefault="00D15472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Establecimientos e instalaciones obligados</w:t>
      </w:r>
      <w:r w:rsidR="007A7243" w:rsidRPr="009810C7">
        <w:rPr>
          <w:rFonts w:ascii="Garamond" w:hAnsi="Garamond"/>
          <w:b/>
          <w:sz w:val="26"/>
          <w:szCs w:val="26"/>
        </w:rPr>
        <w:t xml:space="preserve"> a adoptar medidas de seguridad.</w:t>
      </w:r>
      <w:r w:rsidR="007A7243" w:rsidRPr="009810C7">
        <w:rPr>
          <w:rFonts w:ascii="Garamond" w:hAnsi="Garamond"/>
          <w:sz w:val="26"/>
          <w:szCs w:val="26"/>
        </w:rPr>
        <w:t xml:space="preserve"> S</w:t>
      </w:r>
      <w:r w:rsidRPr="009810C7">
        <w:rPr>
          <w:rFonts w:ascii="Garamond" w:hAnsi="Garamond"/>
          <w:sz w:val="26"/>
          <w:szCs w:val="26"/>
        </w:rPr>
        <w:t>e remite a la normativa de seguridad privada y a la normativa reguladora de infra</w:t>
      </w:r>
      <w:r w:rsidR="00FB5CC6" w:rsidRPr="009810C7">
        <w:rPr>
          <w:rFonts w:ascii="Garamond" w:hAnsi="Garamond"/>
          <w:sz w:val="26"/>
          <w:szCs w:val="26"/>
        </w:rPr>
        <w:t>estructuras críticas para establecer</w:t>
      </w:r>
      <w:r w:rsidRPr="009810C7">
        <w:rPr>
          <w:rFonts w:ascii="Garamond" w:hAnsi="Garamond"/>
          <w:sz w:val="26"/>
          <w:szCs w:val="26"/>
        </w:rPr>
        <w:t xml:space="preserve"> la adopción de medidas de seguridad, con el fin de prevenir la comisión de actos delictivos o infrac</w:t>
      </w:r>
      <w:r w:rsidR="00FB5CC6" w:rsidRPr="009810C7">
        <w:rPr>
          <w:rFonts w:ascii="Garamond" w:hAnsi="Garamond"/>
          <w:sz w:val="26"/>
          <w:szCs w:val="26"/>
        </w:rPr>
        <w:t>ciones administrativas</w:t>
      </w:r>
      <w:r w:rsidRPr="009810C7">
        <w:rPr>
          <w:rFonts w:ascii="Garamond" w:hAnsi="Garamond"/>
          <w:sz w:val="26"/>
          <w:szCs w:val="26"/>
        </w:rPr>
        <w:t>, o cuando generen riesgos directos para terceros o sean especialmente vulnerables.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D15472" w:rsidRPr="009810C7" w:rsidRDefault="00D15472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Espectá</w:t>
      </w:r>
      <w:r w:rsidR="007A7243" w:rsidRPr="009810C7">
        <w:rPr>
          <w:rFonts w:ascii="Garamond" w:hAnsi="Garamond"/>
          <w:b/>
          <w:sz w:val="26"/>
          <w:szCs w:val="26"/>
        </w:rPr>
        <w:t>culos y actividades recreativas.</w:t>
      </w:r>
      <w:r w:rsidR="007A7243" w:rsidRPr="009810C7">
        <w:rPr>
          <w:rFonts w:ascii="Garamond" w:hAnsi="Garamond"/>
          <w:sz w:val="26"/>
          <w:szCs w:val="26"/>
        </w:rPr>
        <w:t xml:space="preserve"> S</w:t>
      </w:r>
      <w:r w:rsidRPr="009810C7">
        <w:rPr>
          <w:rFonts w:ascii="Garamond" w:hAnsi="Garamond"/>
          <w:sz w:val="26"/>
          <w:szCs w:val="26"/>
        </w:rPr>
        <w:t>e establece que</w:t>
      </w:r>
      <w:r w:rsidR="007A7243" w:rsidRPr="009810C7">
        <w:rPr>
          <w:rFonts w:ascii="Garamond" w:hAnsi="Garamond"/>
          <w:sz w:val="26"/>
          <w:szCs w:val="26"/>
        </w:rPr>
        <w:t xml:space="preserve"> se podrán prohibir o suspender</w:t>
      </w:r>
      <w:r w:rsidRPr="009810C7">
        <w:rPr>
          <w:rFonts w:ascii="Garamond" w:hAnsi="Garamond"/>
          <w:sz w:val="26"/>
          <w:szCs w:val="26"/>
        </w:rPr>
        <w:t xml:space="preserve"> espectáculos y actividades recreativas cuando exista un peligro cierto para personas y bienes o acaecieran o se previeran graves alteracione</w:t>
      </w:r>
      <w:r w:rsidR="007A7243" w:rsidRPr="009810C7">
        <w:rPr>
          <w:rFonts w:ascii="Garamond" w:hAnsi="Garamond"/>
          <w:sz w:val="26"/>
          <w:szCs w:val="26"/>
        </w:rPr>
        <w:t>s de la seguridad ciudadana. S</w:t>
      </w:r>
      <w:r w:rsidRPr="009810C7">
        <w:rPr>
          <w:rFonts w:ascii="Garamond" w:hAnsi="Garamond"/>
          <w:sz w:val="26"/>
          <w:szCs w:val="26"/>
        </w:rPr>
        <w:t>e exige que los delegados de la autoridad hayan de estar presentes en la celebración de los espectáculos y actividades recreativas y podrán proceder, previo aviso a los organizadores, a la suspensión de los mismos por razones de máxima urgencia en los supuestos expuestos anteriormente.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D15472" w:rsidRPr="009810C7" w:rsidRDefault="00D15472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 xml:space="preserve">Control administrativo </w:t>
      </w:r>
      <w:r w:rsidR="007A7243" w:rsidRPr="009810C7">
        <w:rPr>
          <w:rFonts w:ascii="Garamond" w:hAnsi="Garamond"/>
          <w:b/>
          <w:sz w:val="26"/>
          <w:szCs w:val="26"/>
        </w:rPr>
        <w:t xml:space="preserve">y medidas de control </w:t>
      </w:r>
      <w:r w:rsidRPr="009810C7">
        <w:rPr>
          <w:rFonts w:ascii="Garamond" w:hAnsi="Garamond"/>
          <w:b/>
          <w:sz w:val="26"/>
          <w:szCs w:val="26"/>
        </w:rPr>
        <w:t>sobre armas, explosivos, cartu</w:t>
      </w:r>
      <w:r w:rsidR="007A7243" w:rsidRPr="009810C7">
        <w:rPr>
          <w:rFonts w:ascii="Garamond" w:hAnsi="Garamond"/>
          <w:b/>
          <w:sz w:val="26"/>
          <w:szCs w:val="26"/>
        </w:rPr>
        <w:t>chería y artículos pirotécnicos.</w:t>
      </w:r>
      <w:r w:rsidR="00FB5CC6" w:rsidRPr="009810C7">
        <w:rPr>
          <w:rFonts w:ascii="Garamond" w:hAnsi="Garamond"/>
          <w:sz w:val="26"/>
          <w:szCs w:val="26"/>
        </w:rPr>
        <w:t xml:space="preserve"> D</w:t>
      </w:r>
      <w:r w:rsidRPr="009810C7">
        <w:rPr>
          <w:rFonts w:ascii="Garamond" w:hAnsi="Garamond"/>
          <w:sz w:val="26"/>
          <w:szCs w:val="26"/>
        </w:rPr>
        <w:t>ispone que la intervención de armas, explosivos, cartuchería y artículos pirotécnicos corresponde</w:t>
      </w:r>
      <w:r w:rsidR="007A7243" w:rsidRPr="009810C7">
        <w:rPr>
          <w:rFonts w:ascii="Garamond" w:hAnsi="Garamond"/>
          <w:sz w:val="26"/>
          <w:szCs w:val="26"/>
        </w:rPr>
        <w:t>n</w:t>
      </w:r>
      <w:r w:rsidRPr="009810C7">
        <w:rPr>
          <w:rFonts w:ascii="Garamond" w:hAnsi="Garamond"/>
          <w:sz w:val="26"/>
          <w:szCs w:val="26"/>
        </w:rPr>
        <w:t xml:space="preserve"> al Ministerio del Interior, que la ejerce a través de la Dirección General de la Guardia Civil. Introduce la prohibición de fabricación y comercialización de armas, municiones y explosivos especialmente peligrosos, así como el depósito de los mismos.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3C4B9C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5</w:t>
      </w:r>
      <w:r w:rsidRPr="009810C7">
        <w:rPr>
          <w:rFonts w:ascii="Garamond" w:hAnsi="Garamond"/>
          <w:sz w:val="26"/>
          <w:szCs w:val="26"/>
        </w:rPr>
        <w:t xml:space="preserve">. </w:t>
      </w:r>
      <w:r w:rsidR="003C4B9C" w:rsidRPr="009810C7">
        <w:rPr>
          <w:rFonts w:ascii="Garamond" w:hAnsi="Garamond"/>
          <w:sz w:val="26"/>
          <w:szCs w:val="26"/>
        </w:rPr>
        <w:t xml:space="preserve">El Capítulo V regula el régimen sancionador.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8E0FC6" w:rsidRPr="009810C7" w:rsidRDefault="007A7243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Sujetos responsables.</w:t>
      </w:r>
      <w:r w:rsidRPr="009810C7">
        <w:rPr>
          <w:rFonts w:ascii="Garamond" w:hAnsi="Garamond"/>
          <w:sz w:val="26"/>
          <w:szCs w:val="26"/>
        </w:rPr>
        <w:t xml:space="preserve"> La </w:t>
      </w:r>
      <w:r w:rsidR="008E0FC6" w:rsidRPr="009810C7">
        <w:rPr>
          <w:rFonts w:ascii="Garamond" w:hAnsi="Garamond"/>
          <w:sz w:val="26"/>
          <w:szCs w:val="26"/>
        </w:rPr>
        <w:t>responsabilidad de las infracciones cometidas recaerá directamente en el autor del hecho en que consista la infracción</w:t>
      </w:r>
      <w:r w:rsidR="00FB5CC6" w:rsidRPr="009810C7">
        <w:rPr>
          <w:rFonts w:ascii="Garamond" w:hAnsi="Garamond"/>
          <w:sz w:val="26"/>
          <w:szCs w:val="26"/>
        </w:rPr>
        <w:t xml:space="preserve"> (exentos menores de 14 años)</w:t>
      </w:r>
      <w:r w:rsidR="008E0FC6" w:rsidRPr="009810C7">
        <w:rPr>
          <w:rFonts w:ascii="Garamond" w:hAnsi="Garamond"/>
          <w:sz w:val="26"/>
          <w:szCs w:val="26"/>
        </w:rPr>
        <w:t xml:space="preserve">. </w:t>
      </w:r>
      <w:r w:rsidR="00FB5CC6" w:rsidRPr="009810C7">
        <w:rPr>
          <w:rFonts w:ascii="Garamond" w:hAnsi="Garamond"/>
          <w:sz w:val="26"/>
          <w:szCs w:val="26"/>
        </w:rPr>
        <w:t>Se mantiene la responsabilidad de</w:t>
      </w:r>
      <w:r w:rsidR="008E0FC6" w:rsidRPr="009810C7">
        <w:rPr>
          <w:rFonts w:ascii="Garamond" w:hAnsi="Garamond"/>
          <w:sz w:val="26"/>
          <w:szCs w:val="26"/>
        </w:rPr>
        <w:t xml:space="preserve"> organizadores o promotores</w:t>
      </w:r>
      <w:r w:rsidR="00FB5CC6" w:rsidRPr="009810C7">
        <w:rPr>
          <w:rFonts w:ascii="Garamond" w:hAnsi="Garamond"/>
          <w:sz w:val="26"/>
          <w:szCs w:val="26"/>
        </w:rPr>
        <w:t xml:space="preserve"> de reuniones o manifestaciones.</w:t>
      </w:r>
      <w:r w:rsidR="008E0FC6" w:rsidRPr="009810C7">
        <w:rPr>
          <w:rFonts w:ascii="Garamond" w:hAnsi="Garamond"/>
          <w:sz w:val="26"/>
          <w:szCs w:val="26"/>
        </w:rPr>
        <w:t xml:space="preserve">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F8253C" w:rsidRPr="009810C7" w:rsidRDefault="007C65A7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Normas concursales.</w:t>
      </w:r>
      <w:r w:rsidRPr="009810C7">
        <w:rPr>
          <w:rFonts w:ascii="Garamond" w:hAnsi="Garamond"/>
          <w:sz w:val="26"/>
          <w:szCs w:val="26"/>
        </w:rPr>
        <w:t xml:space="preserve"> S</w:t>
      </w:r>
      <w:r w:rsidR="008E0FC6" w:rsidRPr="009810C7">
        <w:rPr>
          <w:rFonts w:ascii="Garamond" w:hAnsi="Garamond"/>
          <w:sz w:val="26"/>
          <w:szCs w:val="26"/>
        </w:rPr>
        <w:t>e</w:t>
      </w:r>
      <w:r w:rsidR="00055D20" w:rsidRPr="009810C7">
        <w:rPr>
          <w:rFonts w:ascii="Garamond" w:hAnsi="Garamond"/>
          <w:sz w:val="26"/>
          <w:szCs w:val="26"/>
        </w:rPr>
        <w:t xml:space="preserve"> incluyen una serie de directrices si se da un concurso de infracciones.</w:t>
      </w:r>
      <w:r w:rsidR="007A7243" w:rsidRPr="009810C7">
        <w:rPr>
          <w:rFonts w:ascii="Garamond" w:hAnsi="Garamond"/>
          <w:sz w:val="26"/>
          <w:szCs w:val="26"/>
        </w:rPr>
        <w:t xml:space="preserve"> </w:t>
      </w:r>
      <w:r w:rsidR="008E0FC6" w:rsidRPr="009810C7">
        <w:rPr>
          <w:rFonts w:ascii="Garamond" w:hAnsi="Garamond"/>
          <w:sz w:val="26"/>
          <w:szCs w:val="26"/>
        </w:rPr>
        <w:t>En primer lugar, se aplicará el especial en lugar del general, el más amplio o complejo en lugar del que está incluido en aquél,</w:t>
      </w:r>
      <w:r w:rsidR="0075647A" w:rsidRPr="009810C7">
        <w:rPr>
          <w:rFonts w:ascii="Garamond" w:hAnsi="Garamond"/>
          <w:sz w:val="26"/>
          <w:szCs w:val="26"/>
        </w:rPr>
        <w:t xml:space="preserve"> y</w:t>
      </w:r>
      <w:r w:rsidR="008E0FC6" w:rsidRPr="009810C7">
        <w:rPr>
          <w:rFonts w:ascii="Garamond" w:hAnsi="Garamond"/>
          <w:sz w:val="26"/>
          <w:szCs w:val="26"/>
        </w:rPr>
        <w:t xml:space="preserve"> el más grave en lugar del menos gr</w:t>
      </w:r>
      <w:r w:rsidR="00855AD8" w:rsidRPr="009810C7">
        <w:rPr>
          <w:rFonts w:ascii="Garamond" w:hAnsi="Garamond"/>
          <w:sz w:val="26"/>
          <w:szCs w:val="26"/>
        </w:rPr>
        <w:t>ave. En segundo lugar, se establece</w:t>
      </w:r>
      <w:r w:rsidR="008E0FC6" w:rsidRPr="009810C7">
        <w:rPr>
          <w:rFonts w:ascii="Garamond" w:hAnsi="Garamond"/>
          <w:sz w:val="26"/>
          <w:szCs w:val="26"/>
        </w:rPr>
        <w:t xml:space="preserve"> </w:t>
      </w:r>
      <w:r w:rsidR="00855AD8" w:rsidRPr="009810C7">
        <w:rPr>
          <w:rFonts w:ascii="Garamond" w:hAnsi="Garamond"/>
          <w:sz w:val="26"/>
          <w:szCs w:val="26"/>
        </w:rPr>
        <w:t>el concurso i</w:t>
      </w:r>
      <w:r w:rsidR="008E0FC6" w:rsidRPr="009810C7">
        <w:rPr>
          <w:rFonts w:ascii="Garamond" w:hAnsi="Garamond"/>
          <w:sz w:val="26"/>
          <w:szCs w:val="26"/>
        </w:rPr>
        <w:t xml:space="preserve">deal- medial.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75647A" w:rsidRPr="009810C7" w:rsidRDefault="0075647A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lastRenderedPageBreak/>
        <w:t>Órganos competentes.</w:t>
      </w:r>
      <w:r w:rsidRPr="009810C7">
        <w:rPr>
          <w:rFonts w:ascii="Garamond" w:hAnsi="Garamond"/>
          <w:sz w:val="26"/>
          <w:szCs w:val="26"/>
        </w:rPr>
        <w:t xml:space="preserve"> Serán competentes el Ministro del Interior para sanciones muy graves; el Secretario de Estado de Seguridad, para la sanción de infracciones muy graves en grado medio y en grado mínimo; y los Delegados del Gobierno en las comunidades autónomas y en las Ciudades de Ceuta y Melilla, para la sanción de las infracciones graves y leves. Por otro lado, también serán competentes las autoridades correspondientes de la Comunidad Autónoma en el ámbito de sus competencias en materia de seguridad ciudadana y los alcaldes cuando las infracciones se cometieran en espacios públicos municipales o afecten a bienes de titularidad local, si tienen competencia sobre la materia de acuerdo con la legislación específica.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9B6529" w:rsidRPr="009810C7" w:rsidRDefault="007C65A7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b/>
          <w:sz w:val="26"/>
          <w:szCs w:val="26"/>
        </w:rPr>
        <w:t>Graduación de la sanción.</w:t>
      </w:r>
      <w:r w:rsidRPr="009810C7">
        <w:rPr>
          <w:rFonts w:ascii="Garamond" w:hAnsi="Garamond"/>
          <w:sz w:val="26"/>
          <w:szCs w:val="26"/>
        </w:rPr>
        <w:t xml:space="preserve">  Se d</w:t>
      </w:r>
      <w:r w:rsidR="009B6529" w:rsidRPr="009810C7">
        <w:rPr>
          <w:rFonts w:ascii="Garamond" w:hAnsi="Garamond"/>
          <w:sz w:val="26"/>
          <w:szCs w:val="26"/>
        </w:rPr>
        <w:t>ivide</w:t>
      </w:r>
      <w:r w:rsidRPr="009810C7">
        <w:rPr>
          <w:rFonts w:ascii="Garamond" w:hAnsi="Garamond"/>
          <w:sz w:val="26"/>
          <w:szCs w:val="26"/>
        </w:rPr>
        <w:t>n</w:t>
      </w:r>
      <w:r w:rsidR="009B6529" w:rsidRPr="009810C7">
        <w:rPr>
          <w:rFonts w:ascii="Garamond" w:hAnsi="Garamond"/>
          <w:sz w:val="26"/>
          <w:szCs w:val="26"/>
        </w:rPr>
        <w:t xml:space="preserve"> las multas correspondientes a l</w:t>
      </w:r>
      <w:r w:rsidRPr="009810C7">
        <w:rPr>
          <w:rFonts w:ascii="Garamond" w:hAnsi="Garamond"/>
          <w:sz w:val="26"/>
          <w:szCs w:val="26"/>
        </w:rPr>
        <w:t>as infracciones en tres tramos: mínimo, medio y máximo</w:t>
      </w:r>
      <w:r w:rsidR="009B6529" w:rsidRPr="009810C7">
        <w:rPr>
          <w:rFonts w:ascii="Garamond" w:hAnsi="Garamond"/>
          <w:sz w:val="26"/>
          <w:szCs w:val="26"/>
        </w:rPr>
        <w:t xml:space="preserve">. </w:t>
      </w:r>
      <w:r w:rsidRPr="009810C7">
        <w:rPr>
          <w:rFonts w:ascii="Garamond" w:hAnsi="Garamond"/>
          <w:sz w:val="26"/>
          <w:szCs w:val="26"/>
        </w:rPr>
        <w:t xml:space="preserve">El </w:t>
      </w:r>
      <w:r w:rsidR="009B6529" w:rsidRPr="009810C7">
        <w:rPr>
          <w:rFonts w:ascii="Garamond" w:hAnsi="Garamond"/>
          <w:sz w:val="26"/>
          <w:szCs w:val="26"/>
        </w:rPr>
        <w:t>concepto de reincidencia se hace más extensivo</w:t>
      </w:r>
      <w:r w:rsidRPr="009810C7">
        <w:rPr>
          <w:rFonts w:ascii="Garamond" w:hAnsi="Garamond"/>
          <w:sz w:val="26"/>
          <w:szCs w:val="26"/>
        </w:rPr>
        <w:t>, ampliando el plazo para poder valorarla a dos años</w:t>
      </w:r>
      <w:r w:rsidR="009B6529" w:rsidRPr="009810C7">
        <w:rPr>
          <w:rFonts w:ascii="Garamond" w:hAnsi="Garamond"/>
          <w:sz w:val="26"/>
          <w:szCs w:val="26"/>
        </w:rPr>
        <w:t>, incluyendo además, que la comisión de la infracción haya sido declarada por resolución firme en la vía administrativa</w:t>
      </w:r>
      <w:r w:rsidR="00483FB8" w:rsidRPr="009810C7">
        <w:rPr>
          <w:rFonts w:ascii="Garamond" w:hAnsi="Garamond"/>
          <w:sz w:val="26"/>
          <w:szCs w:val="26"/>
        </w:rPr>
        <w:t>. Se agravará la sanción</w:t>
      </w:r>
      <w:r w:rsidR="009B6529" w:rsidRPr="009810C7">
        <w:rPr>
          <w:rFonts w:ascii="Garamond" w:hAnsi="Garamond"/>
          <w:sz w:val="26"/>
          <w:szCs w:val="26"/>
        </w:rPr>
        <w:t xml:space="preserve"> por el hecho de que el autor use prendas u otro objeto que cubran el rostro, impidiendo o dificultando su identificación</w:t>
      </w:r>
      <w:r w:rsidR="005B5CA3" w:rsidRPr="009810C7">
        <w:rPr>
          <w:rFonts w:ascii="Garamond" w:hAnsi="Garamond"/>
          <w:sz w:val="26"/>
          <w:szCs w:val="26"/>
        </w:rPr>
        <w:t>.</w:t>
      </w:r>
      <w:r w:rsidR="009B6529" w:rsidRPr="009810C7">
        <w:rPr>
          <w:rFonts w:ascii="Garamond" w:hAnsi="Garamond"/>
          <w:sz w:val="26"/>
          <w:szCs w:val="26"/>
        </w:rPr>
        <w:t xml:space="preserve"> Se establece la clasificación de las infracciones en leves, </w:t>
      </w:r>
      <w:r w:rsidR="005B5CA3" w:rsidRPr="009810C7">
        <w:rPr>
          <w:rFonts w:ascii="Garamond" w:hAnsi="Garamond"/>
          <w:sz w:val="26"/>
          <w:szCs w:val="26"/>
        </w:rPr>
        <w:t>graves y muy graves.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61367" w:rsidRPr="009810C7" w:rsidRDefault="005C4BCF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Son </w:t>
      </w:r>
      <w:r w:rsidRPr="009810C7">
        <w:rPr>
          <w:rFonts w:ascii="Garamond" w:hAnsi="Garamond"/>
          <w:b/>
          <w:sz w:val="26"/>
          <w:szCs w:val="26"/>
        </w:rPr>
        <w:t>infracciones muy graves</w:t>
      </w:r>
      <w:r w:rsidRPr="009810C7">
        <w:rPr>
          <w:rFonts w:ascii="Garamond" w:hAnsi="Garamond"/>
          <w:sz w:val="26"/>
          <w:szCs w:val="26"/>
        </w:rPr>
        <w:t>: (m</w:t>
      </w:r>
      <w:r w:rsidR="00F61367" w:rsidRPr="009810C7">
        <w:rPr>
          <w:rFonts w:ascii="Garamond" w:hAnsi="Garamond"/>
          <w:sz w:val="26"/>
          <w:szCs w:val="26"/>
        </w:rPr>
        <w:t>ulta de 30.001 a 600.000 euros</w:t>
      </w:r>
      <w:r w:rsidR="00F33C0D" w:rsidRPr="009810C7">
        <w:rPr>
          <w:rFonts w:ascii="Garamond" w:hAnsi="Garamond"/>
          <w:sz w:val="26"/>
          <w:szCs w:val="26"/>
        </w:rPr>
        <w:t>)</w:t>
      </w:r>
      <w:r w:rsidRPr="009810C7">
        <w:rPr>
          <w:rFonts w:ascii="Garamond" w:hAnsi="Garamond"/>
          <w:sz w:val="26"/>
          <w:szCs w:val="26"/>
        </w:rPr>
        <w:t>: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61367" w:rsidRPr="009810C7" w:rsidRDefault="00F61367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1. Las reuniones o manifestaciones no comunicadas o prohibidas en infraestructuras o instalaciones en las que se prestan servicios básicos para la comunidad o en sus inmediaciones, así como la intrusión en los recintos de éstas, incluido su sobrevuelo, cuando, en cualquiera de estos supuestos, se haya generado un riesgo para la vida o la integridad física de las personas. En el caso de las reuniones y manifestaciones serán responsables los organizadores o promotores.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5647A" w:rsidRPr="009810C7" w:rsidRDefault="00F61367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2. La fabricación, reparación, almacenamiento, circulación, comercio, transporte, distribución, adquisición, certificación, enajenación o utilización de armas reglamentarias, explosivos catalogados, cartuchería o artículos pirotécnicos</w:t>
      </w:r>
      <w:r w:rsidR="0075647A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140FBC" w:rsidRPr="009810C7" w:rsidRDefault="00F61367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3. La celebración de espectáculos públicos o actividades recreativas quebrantando la prohibición o suspensión ordenada por la autoridad correspondiente por razones de seguridad pública.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61367" w:rsidRPr="009810C7" w:rsidRDefault="00F61367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4. La proyección de haces de luz, mediante cualquier tipo de dispositivo, sobre los pilotos o conductores de medios de transporte que puedan deslumbrarles o distraer su atención y provocar accidentes.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140FBC" w:rsidRPr="009810C7" w:rsidRDefault="005C4BCF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Son </w:t>
      </w:r>
      <w:r w:rsidRPr="009810C7">
        <w:rPr>
          <w:rFonts w:ascii="Garamond" w:hAnsi="Garamond"/>
          <w:b/>
          <w:sz w:val="26"/>
          <w:szCs w:val="26"/>
        </w:rPr>
        <w:t>infracciones graves</w:t>
      </w:r>
      <w:r w:rsidRPr="009810C7">
        <w:rPr>
          <w:rFonts w:ascii="Garamond" w:hAnsi="Garamond"/>
          <w:sz w:val="26"/>
          <w:szCs w:val="26"/>
        </w:rPr>
        <w:t xml:space="preserve"> (multa de 601 a 30.000 e</w:t>
      </w:r>
      <w:r w:rsidR="00140FBC" w:rsidRPr="009810C7">
        <w:rPr>
          <w:rFonts w:ascii="Garamond" w:hAnsi="Garamond"/>
          <w:sz w:val="26"/>
          <w:szCs w:val="26"/>
        </w:rPr>
        <w:t>uros)</w:t>
      </w:r>
      <w:r w:rsidRPr="009810C7">
        <w:rPr>
          <w:rFonts w:ascii="Garamond" w:hAnsi="Garamond"/>
          <w:sz w:val="26"/>
          <w:szCs w:val="26"/>
        </w:rPr>
        <w:t>: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95C7E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1. La perturbación de la seguridad ciudadana en actos públicos a las</w:t>
      </w:r>
      <w:r w:rsidR="00030E07" w:rsidRPr="009810C7">
        <w:rPr>
          <w:rFonts w:ascii="Garamond" w:hAnsi="Garamond"/>
          <w:sz w:val="26"/>
          <w:szCs w:val="26"/>
        </w:rPr>
        <w:t xml:space="preserve"> que asistan numerosas personas</w:t>
      </w:r>
      <w:r w:rsidRPr="009810C7">
        <w:rPr>
          <w:rFonts w:ascii="Garamond" w:hAnsi="Garamond"/>
          <w:sz w:val="26"/>
          <w:szCs w:val="26"/>
        </w:rPr>
        <w:t xml:space="preserve"> cuando no sean constitutivas de infracción penal.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30E07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lastRenderedPageBreak/>
        <w:t>2. La perturbación grave de la seguridad ciudadana que se produzca con ocasión de reuniones o manifestaciones frente a las sedes</w:t>
      </w:r>
      <w:r w:rsidR="00030E07" w:rsidRPr="009810C7">
        <w:rPr>
          <w:rFonts w:ascii="Garamond" w:hAnsi="Garamond"/>
          <w:sz w:val="26"/>
          <w:szCs w:val="26"/>
        </w:rPr>
        <w:t xml:space="preserve"> parlamentarias estatales y autónomas.</w:t>
      </w:r>
      <w:r w:rsidRPr="009810C7">
        <w:rPr>
          <w:rFonts w:ascii="Garamond" w:hAnsi="Garamond"/>
          <w:sz w:val="26"/>
          <w:szCs w:val="26"/>
        </w:rPr>
        <w:t xml:space="preserve">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30E07" w:rsidRPr="009810C7" w:rsidRDefault="00030E07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3. </w:t>
      </w:r>
      <w:r w:rsidR="00140FBC" w:rsidRPr="009810C7">
        <w:rPr>
          <w:rFonts w:ascii="Garamond" w:hAnsi="Garamond"/>
          <w:sz w:val="26"/>
          <w:szCs w:val="26"/>
        </w:rPr>
        <w:t xml:space="preserve">Causar desórdenes en las vías, espacios o establecimientos públicos, u obstaculizar la vía pública </w:t>
      </w:r>
      <w:r w:rsidRPr="009810C7">
        <w:rPr>
          <w:rFonts w:ascii="Garamond" w:hAnsi="Garamond"/>
          <w:sz w:val="26"/>
          <w:szCs w:val="26"/>
        </w:rPr>
        <w:t>cuando</w:t>
      </w:r>
      <w:r w:rsidR="00140FBC" w:rsidRPr="009810C7">
        <w:rPr>
          <w:rFonts w:ascii="Garamond" w:hAnsi="Garamond"/>
          <w:sz w:val="26"/>
          <w:szCs w:val="26"/>
        </w:rPr>
        <w:t xml:space="preserve"> se ocasione una alteración grave de la seguridad ciudadana.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30E07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4. Los actos de obstrucción que pretendan impedir a cualquier autoridad el ejercicio legítimo de sus funciones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30E07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5. Las acciones y omisiones que impidan u obstaculicen el funcionamiento de los servicios de emergencia</w:t>
      </w:r>
      <w:r w:rsidR="00030E07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6. La desobediencia o la resistencia a la autoridad o a sus agentes en el ejercicio de sus funciones</w:t>
      </w:r>
      <w:r w:rsidR="00280A42" w:rsidRPr="009810C7">
        <w:rPr>
          <w:rFonts w:ascii="Garamond" w:hAnsi="Garamond"/>
          <w:sz w:val="26"/>
          <w:szCs w:val="26"/>
        </w:rPr>
        <w:t>,</w:t>
      </w:r>
      <w:r w:rsidRPr="009810C7">
        <w:rPr>
          <w:rFonts w:ascii="Garamond" w:hAnsi="Garamond"/>
          <w:sz w:val="26"/>
          <w:szCs w:val="26"/>
        </w:rPr>
        <w:t xml:space="preserve"> así como la negativa a identificarse a requerimiento de la autoridad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7. La negativa a la disolución de reuniones y manifestaciones en lugares de tránsito público ordenada por la autoridad competente cuando concurran los supuestos del artículo 5 de la Ley Orgánica 9/1983, de 15 de julio.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8. La perturbación del desarrollo de una reunión o manifestación lícita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9. La intrusión en infraestructuras o instalaciones en las que se prestan servicios básicos para la comunidad cuando se haya producido una interferencia grave en su funcionamiento.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10. Portar, exhibir o usar armas prohibidas,</w:t>
      </w:r>
      <w:r w:rsidR="00280A42" w:rsidRPr="009810C7">
        <w:rPr>
          <w:rFonts w:ascii="Garamond" w:hAnsi="Garamond"/>
          <w:sz w:val="26"/>
          <w:szCs w:val="26"/>
        </w:rPr>
        <w:t xml:space="preserve"> o hacerlo</w:t>
      </w:r>
      <w:r w:rsidRPr="009810C7">
        <w:rPr>
          <w:rFonts w:ascii="Garamond" w:hAnsi="Garamond"/>
          <w:sz w:val="26"/>
          <w:szCs w:val="26"/>
        </w:rPr>
        <w:t xml:space="preserve"> de modo negligente, temerario o intimidatorio, o fuera de los lug</w:t>
      </w:r>
      <w:r w:rsidR="0075647A" w:rsidRPr="009810C7">
        <w:rPr>
          <w:rFonts w:ascii="Garamond" w:hAnsi="Garamond"/>
          <w:sz w:val="26"/>
          <w:szCs w:val="26"/>
        </w:rPr>
        <w:t>ares habilitados para su uso</w:t>
      </w:r>
      <w:r w:rsidR="00280A42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11. La solicitud o aceptación por el demandante de servicios sexuales retribuidos en zonas de tránsito público en las proximidades de lugares destinados a su uso por menores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280A42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12</w:t>
      </w:r>
      <w:r w:rsidR="00140FBC" w:rsidRPr="009810C7">
        <w:rPr>
          <w:rFonts w:ascii="Garamond" w:hAnsi="Garamond"/>
          <w:sz w:val="26"/>
          <w:szCs w:val="26"/>
        </w:rPr>
        <w:t>. La fabricación, reparación, almacenamiento, circulación, comercio, transporte, distribución, adquisición, certificación, enajenación o utilización de armas reglamentarias, explosivos catalogados, cartuchería o artículos pirotécnicos, incumpliendo la normativa de aplicación, careciendo de la documentación o autorización requeridas o exc</w:t>
      </w:r>
      <w:r w:rsidRPr="009810C7">
        <w:rPr>
          <w:rFonts w:ascii="Garamond" w:hAnsi="Garamond"/>
          <w:sz w:val="26"/>
          <w:szCs w:val="26"/>
        </w:rPr>
        <w:t>ediendo los límites autorizados.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13. La negativa de acceso o la obstrucción deliberada de las inspecciones o controles reglamentarios</w:t>
      </w:r>
      <w:r w:rsidR="00280A42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14. El uso público e indebido de uniformes, insignias o condecoraciones oficiales</w:t>
      </w:r>
      <w:r w:rsidR="00280A42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15. La falta de colaboración con las Fuerzas y Cuerpos de Seguridad en la averiguación de delitos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280A42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lastRenderedPageBreak/>
        <w:t xml:space="preserve">16. </w:t>
      </w:r>
      <w:r w:rsidR="00140FBC" w:rsidRPr="009810C7">
        <w:rPr>
          <w:rFonts w:ascii="Garamond" w:hAnsi="Garamond"/>
          <w:sz w:val="26"/>
          <w:szCs w:val="26"/>
        </w:rPr>
        <w:t>El consumo o la tenencia ilícitos de drogas tóxicas, estupefacientes o sustancias psicotrópicas, en lugares, vías, establecimientos públicos o transportes colectivos</w:t>
      </w:r>
      <w:r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17. El traslado de personas, con cualquier tipo de vehículo, con el objeto de facilitar a éstas el acceso a drogas tóxicas, estupefacientes o sustancias psicotrópicas</w:t>
      </w:r>
      <w:r w:rsidR="00280A42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18. La ejecución de actos de plantación y cultivo ilícitos de drogas tóxicas, estupefacientes o sustancias psicotrópicas en lugares visibles al público</w:t>
      </w:r>
      <w:r w:rsidR="00280A42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19. La tolerancia del consumo ilegal o el tráfico de drogas tóxicas, estupefacientes o sustancias psicotrópicas en locales o establecimientos públicos o la falta de diligencia en orden a impedirlos por parte de los propietarios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20. La carencia de los registros previstos en esta Ley para las actividades con trascendencia para la seguridad ciudadana o la omisión de comunicaciones obligatorias.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21. La alegación de datos o circunstancias falsos para la o</w:t>
      </w:r>
      <w:r w:rsidR="00280A42" w:rsidRPr="009810C7">
        <w:rPr>
          <w:rFonts w:ascii="Garamond" w:hAnsi="Garamond"/>
          <w:sz w:val="26"/>
          <w:szCs w:val="26"/>
        </w:rPr>
        <w:t>btención de las documentaciones.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80A42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22. El incumplimiento de las restricciones a la navegación reglamentariamente impuestas a las embarcaciones de alta velocidad y aeronaves ligeras.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140FBC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23. El uso no autorizado de imágenes o datos personales o profesionales de autoridades o miembros de las Fuerzas y Cuerpos de </w:t>
      </w:r>
      <w:r w:rsidR="006C41F5" w:rsidRPr="009810C7">
        <w:rPr>
          <w:rFonts w:ascii="Garamond" w:hAnsi="Garamond"/>
          <w:sz w:val="26"/>
          <w:szCs w:val="26"/>
        </w:rPr>
        <w:t>Seguridad.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7BAC" w:rsidRPr="009810C7" w:rsidRDefault="005C4BCF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Son </w:t>
      </w:r>
      <w:r w:rsidRPr="009810C7">
        <w:rPr>
          <w:rFonts w:ascii="Garamond" w:hAnsi="Garamond"/>
          <w:b/>
          <w:sz w:val="26"/>
          <w:szCs w:val="26"/>
        </w:rPr>
        <w:t>infracciones leves</w:t>
      </w:r>
      <w:r w:rsidRPr="009810C7">
        <w:rPr>
          <w:rFonts w:ascii="Garamond" w:hAnsi="Garamond"/>
          <w:sz w:val="26"/>
          <w:szCs w:val="26"/>
        </w:rPr>
        <w:t xml:space="preserve"> (multa de 100 a 600 euros):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7BAC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1. La celebración de reuniones en lugares de tránsito público o de manifestaciones, </w:t>
      </w:r>
      <w:bookmarkStart w:id="0" w:name="_GoBack"/>
      <w:bookmarkEnd w:id="0"/>
      <w:r w:rsidRPr="009810C7">
        <w:rPr>
          <w:rFonts w:ascii="Garamond" w:hAnsi="Garamond"/>
          <w:sz w:val="26"/>
          <w:szCs w:val="26"/>
        </w:rPr>
        <w:t xml:space="preserve">incumpliendo lo preceptuado en los artículos 4.2, 8, 9, 10 y 11 de la Ley Orgánica 9/1983, de 15 de julio, cuya responsabilidad corresponderá a los organizadores o promotores.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7BAC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2. La exhibición de objetos peligrosos para la vida e integridad física de las personas con ánimo intimidatorio</w:t>
      </w:r>
      <w:r w:rsidR="000A7BAC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7BAC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3. El incumplimiento de las restricciones de circulación peatonal o itinerario con ocasión de un acto público, reunión o manifestación, cuando provoquen alteraciones menores en el normal desarrollo de los mismos.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7BAC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4. Las faltas de respeto y consideración cuyo destinatario sea un miembro de las Fuerzas y Cuerpos de Seguridad en el ejercicio de sus funciones de protección de la seguridad</w:t>
      </w:r>
      <w:r w:rsidR="000A7BAC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7BAC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5. La realización o incitación a la realización de actos que atenten contra la libertad e indemnidad sexual</w:t>
      </w:r>
      <w:r w:rsidR="000A7BAC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7BAC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lastRenderedPageBreak/>
        <w:t>6. La proyección de haces de luz, mediante cualquier tipo de dispositivo, sobre miembros de las Fuerzas y Cuerpos de Seguridad para impedir o dificultar el ejercicio de sus funciones.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7BAC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7. La ocupación de cualquier inmueble, vivien</w:t>
      </w:r>
      <w:r w:rsidR="000A7BAC" w:rsidRPr="009810C7">
        <w:rPr>
          <w:rFonts w:ascii="Garamond" w:hAnsi="Garamond"/>
          <w:sz w:val="26"/>
          <w:szCs w:val="26"/>
        </w:rPr>
        <w:t xml:space="preserve">da o edificio ajenos </w:t>
      </w:r>
      <w:r w:rsidRPr="009810C7">
        <w:rPr>
          <w:rFonts w:ascii="Garamond" w:hAnsi="Garamond"/>
          <w:sz w:val="26"/>
          <w:szCs w:val="26"/>
        </w:rPr>
        <w:t xml:space="preserve">contra la voluntad de su propietario. Asimismo la ocupación de la vía pública con infracción de lo dispuesto por la Ley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7BAC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8. La omisión o la insuficiencia de medidas para garantizar la conservación de la documentación de armas y explosivos</w:t>
      </w:r>
      <w:r w:rsidR="000A7BAC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5C4BCF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9. Las irregularidades en la cumplimentación de los registros previstos en esta Ley con trascendencia para la seguridad ciudadana</w:t>
      </w:r>
      <w:r w:rsidR="005C4BCF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5C4BCF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10. El incumplimiento de la obligación de obtener la documentación personal legalmente exigida</w:t>
      </w:r>
      <w:r w:rsidR="005C4BCF" w:rsidRPr="009810C7">
        <w:rPr>
          <w:rFonts w:ascii="Garamond" w:hAnsi="Garamond"/>
          <w:sz w:val="26"/>
          <w:szCs w:val="26"/>
        </w:rPr>
        <w:t>.</w:t>
      </w:r>
      <w:r w:rsidRPr="009810C7">
        <w:rPr>
          <w:rFonts w:ascii="Garamond" w:hAnsi="Garamond"/>
          <w:sz w:val="26"/>
          <w:szCs w:val="26"/>
        </w:rPr>
        <w:t xml:space="preserve">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5C4BCF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11. La negligencia en la custodia y conservación de la documentación personal legalmente exigida</w:t>
      </w:r>
      <w:r w:rsidR="005C4BCF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5C4BCF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12. La negativa a entregar la documentación personal legalmente exigida cuando se hubiese acordado su retirada o retención.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5C4BCF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13. Los daños o el deslucimiento de bienes muebles o inmuebles de uso o servicio público, así como de bienes muebles o inmuebles privados en la vía pública</w:t>
      </w:r>
      <w:r w:rsidR="005C4BCF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5C4BCF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14. El escalamiento de edificios o monumentos sin autorización cuando exista un riesgo cierto de que se ocasionen daños a las personas o a los bienes.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5C4BCF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15. La remoción de vallas, encintados u otros elementos fijos o móviles colocados por las Fuerzas y Cuerpos de Seguridad para delimitar perímetros de seguridad</w:t>
      </w:r>
      <w:r w:rsidR="005C4BCF" w:rsidRPr="009810C7">
        <w:rPr>
          <w:rFonts w:ascii="Garamond" w:hAnsi="Garamond"/>
          <w:sz w:val="26"/>
          <w:szCs w:val="26"/>
        </w:rPr>
        <w:t>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5C4BCF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16. Dejar sueltos o en condiciones de causar daños animales feroces o dañinos, así como abandonar animales domésticos en condiciones en que pueda peligrar su vida.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66695" w:rsidRPr="009810C7" w:rsidRDefault="00140FBC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17. El consumo de bebidas alcohólicas en lugares, vías, establecimientos o transportes públicos cuando perturbe gravemente la tranquilidad ciudadana.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66695" w:rsidRPr="009810C7" w:rsidRDefault="00483FB8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La prescripción de las sanciones es de tres</w:t>
      </w:r>
      <w:r w:rsidR="00EC7928" w:rsidRPr="009810C7">
        <w:rPr>
          <w:rFonts w:ascii="Garamond" w:hAnsi="Garamond"/>
          <w:sz w:val="26"/>
          <w:szCs w:val="26"/>
        </w:rPr>
        <w:t xml:space="preserve"> años para infracciones muy graves, dos para graves y uno para leves.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C7928" w:rsidRPr="009810C7" w:rsidRDefault="005C4BCF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Si las conductas sancionadas han causado daños y perjuicios, se deberá reparar el daño causado, y cuando dicho daño haya sido cometido por</w:t>
      </w:r>
      <w:r w:rsidR="00EC7928" w:rsidRPr="009810C7">
        <w:rPr>
          <w:rFonts w:ascii="Garamond" w:hAnsi="Garamond"/>
          <w:sz w:val="26"/>
          <w:szCs w:val="26"/>
        </w:rPr>
        <w:t xml:space="preserve"> un menor de dieciocho años no emancipado o una persona con la capacidad judicialmente complementada responderán, solidariamente con él, de los daños y perjuicios ocasionados sus padres, tutores, curadores, acogedores o guardadores lega</w:t>
      </w:r>
      <w:r w:rsidRPr="009810C7">
        <w:rPr>
          <w:rFonts w:ascii="Garamond" w:hAnsi="Garamond"/>
          <w:sz w:val="26"/>
          <w:szCs w:val="26"/>
        </w:rPr>
        <w:t>les o de hecho.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483FB8" w:rsidRPr="009810C7" w:rsidRDefault="002004FF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lastRenderedPageBreak/>
        <w:t>Se p</w:t>
      </w:r>
      <w:r w:rsidR="00483FB8" w:rsidRPr="009810C7">
        <w:rPr>
          <w:rFonts w:ascii="Garamond" w:hAnsi="Garamond"/>
          <w:sz w:val="26"/>
          <w:szCs w:val="26"/>
        </w:rPr>
        <w:t>revé</w:t>
      </w:r>
      <w:r w:rsidR="00EC7928" w:rsidRPr="009810C7">
        <w:rPr>
          <w:rFonts w:ascii="Garamond" w:hAnsi="Garamond"/>
          <w:sz w:val="26"/>
          <w:szCs w:val="26"/>
        </w:rPr>
        <w:t xml:space="preserve"> la creación de un Registro Central de Infractores para apreciar la reincidencia. 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C7928" w:rsidRPr="009810C7" w:rsidRDefault="002004FF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 xml:space="preserve">El procedimiento sancionador es subsidiario en todo caso al procedimiento penal. </w:t>
      </w:r>
      <w:r w:rsidR="00EC7928" w:rsidRPr="009810C7">
        <w:rPr>
          <w:rFonts w:ascii="Garamond" w:hAnsi="Garamond"/>
          <w:sz w:val="26"/>
          <w:szCs w:val="26"/>
        </w:rPr>
        <w:t>Se amplían las facultades de la policía, permitiendo actuaciones previas al procedimiento sancionador de manera genérica</w:t>
      </w:r>
      <w:r w:rsidR="00483FB8" w:rsidRPr="009810C7">
        <w:rPr>
          <w:rFonts w:ascii="Garamond" w:hAnsi="Garamond"/>
          <w:sz w:val="26"/>
          <w:szCs w:val="26"/>
        </w:rPr>
        <w:t xml:space="preserve">. </w:t>
      </w:r>
      <w:r w:rsidR="00EC7928" w:rsidRPr="009810C7">
        <w:rPr>
          <w:rFonts w:ascii="Garamond" w:hAnsi="Garamond"/>
          <w:sz w:val="26"/>
          <w:szCs w:val="26"/>
        </w:rPr>
        <w:t>Una vez iniciado el procedimiento, se amplían igualmente las medidas de carácter provisional que pueden adoptarse.</w:t>
      </w:r>
    </w:p>
    <w:p w:rsidR="00095C7E" w:rsidRPr="009810C7" w:rsidRDefault="00095C7E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004FF" w:rsidRPr="009810C7" w:rsidRDefault="002004FF" w:rsidP="00095C7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9810C7">
        <w:rPr>
          <w:rFonts w:ascii="Garamond" w:hAnsi="Garamond"/>
          <w:sz w:val="26"/>
          <w:szCs w:val="26"/>
        </w:rPr>
        <w:t>Se prevé un procedimiento abreviado para las infracciones graves y leves, en el que el interesado dispondrá de un plazo de quince días para realizar el pago voluntario con reducción de la sanción de multa, o para formular las alegaciones y proponer o aportar las pruebas que estime oportunas.</w:t>
      </w:r>
    </w:p>
    <w:sectPr w:rsidR="002004FF" w:rsidRPr="00981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F7" w:rsidRDefault="00C001F7" w:rsidP="009810C7">
      <w:pPr>
        <w:spacing w:after="0" w:line="240" w:lineRule="auto"/>
      </w:pPr>
      <w:r>
        <w:separator/>
      </w:r>
    </w:p>
  </w:endnote>
  <w:endnote w:type="continuationSeparator" w:id="0">
    <w:p w:rsidR="00C001F7" w:rsidRDefault="00C001F7" w:rsidP="0098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F7" w:rsidRDefault="00C001F7" w:rsidP="009810C7">
      <w:pPr>
        <w:spacing w:after="0" w:line="240" w:lineRule="auto"/>
      </w:pPr>
      <w:r>
        <w:separator/>
      </w:r>
    </w:p>
  </w:footnote>
  <w:footnote w:type="continuationSeparator" w:id="0">
    <w:p w:rsidR="00C001F7" w:rsidRDefault="00C001F7" w:rsidP="0098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C"/>
    <w:rsid w:val="00014A75"/>
    <w:rsid w:val="00030E07"/>
    <w:rsid w:val="00055D20"/>
    <w:rsid w:val="00095C7E"/>
    <w:rsid w:val="000A7BAC"/>
    <w:rsid w:val="00113818"/>
    <w:rsid w:val="001224A4"/>
    <w:rsid w:val="00140FBC"/>
    <w:rsid w:val="001D7DC6"/>
    <w:rsid w:val="002004FF"/>
    <w:rsid w:val="00227331"/>
    <w:rsid w:val="002461B8"/>
    <w:rsid w:val="00280A42"/>
    <w:rsid w:val="002926EE"/>
    <w:rsid w:val="002B6D46"/>
    <w:rsid w:val="002D07E0"/>
    <w:rsid w:val="00320BE0"/>
    <w:rsid w:val="00363F69"/>
    <w:rsid w:val="00386DE1"/>
    <w:rsid w:val="003C4B9C"/>
    <w:rsid w:val="003D4220"/>
    <w:rsid w:val="003E2458"/>
    <w:rsid w:val="004167B6"/>
    <w:rsid w:val="00483FB8"/>
    <w:rsid w:val="00484803"/>
    <w:rsid w:val="004A449B"/>
    <w:rsid w:val="00556D95"/>
    <w:rsid w:val="005B5CA3"/>
    <w:rsid w:val="005C4BCF"/>
    <w:rsid w:val="006C41F5"/>
    <w:rsid w:val="006D691A"/>
    <w:rsid w:val="006D6E4B"/>
    <w:rsid w:val="0071345B"/>
    <w:rsid w:val="00715881"/>
    <w:rsid w:val="0075647A"/>
    <w:rsid w:val="007A7243"/>
    <w:rsid w:val="007C65A7"/>
    <w:rsid w:val="00855AD8"/>
    <w:rsid w:val="008A41DD"/>
    <w:rsid w:val="008E0FC6"/>
    <w:rsid w:val="009133BD"/>
    <w:rsid w:val="0091653F"/>
    <w:rsid w:val="00963D6F"/>
    <w:rsid w:val="009810C7"/>
    <w:rsid w:val="009B5BBF"/>
    <w:rsid w:val="009B6529"/>
    <w:rsid w:val="009F6905"/>
    <w:rsid w:val="00A75362"/>
    <w:rsid w:val="00B13996"/>
    <w:rsid w:val="00B63170"/>
    <w:rsid w:val="00B71E25"/>
    <w:rsid w:val="00BC0BED"/>
    <w:rsid w:val="00BE3F12"/>
    <w:rsid w:val="00C001F7"/>
    <w:rsid w:val="00C422D4"/>
    <w:rsid w:val="00C43CD3"/>
    <w:rsid w:val="00C61BF5"/>
    <w:rsid w:val="00CE6B5C"/>
    <w:rsid w:val="00D15472"/>
    <w:rsid w:val="00D369C9"/>
    <w:rsid w:val="00D42481"/>
    <w:rsid w:val="00D66695"/>
    <w:rsid w:val="00E53D4B"/>
    <w:rsid w:val="00E84E13"/>
    <w:rsid w:val="00EC7928"/>
    <w:rsid w:val="00F33C0D"/>
    <w:rsid w:val="00F478DD"/>
    <w:rsid w:val="00F53896"/>
    <w:rsid w:val="00F61367"/>
    <w:rsid w:val="00F65B69"/>
    <w:rsid w:val="00F8253C"/>
    <w:rsid w:val="00FB5CC6"/>
    <w:rsid w:val="00FC1D98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E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5C7E"/>
    <w:rPr>
      <w:b/>
      <w:bCs/>
    </w:rPr>
  </w:style>
  <w:style w:type="character" w:customStyle="1" w:styleId="apple-converted-space">
    <w:name w:val="apple-converted-space"/>
    <w:basedOn w:val="Fuentedeprrafopredeter"/>
    <w:rsid w:val="00095C7E"/>
  </w:style>
  <w:style w:type="paragraph" w:styleId="Encabezado">
    <w:name w:val="header"/>
    <w:basedOn w:val="Normal"/>
    <w:link w:val="EncabezadoCar"/>
    <w:uiPriority w:val="99"/>
    <w:unhideWhenUsed/>
    <w:rsid w:val="00981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0C7"/>
  </w:style>
  <w:style w:type="paragraph" w:styleId="Piedepgina">
    <w:name w:val="footer"/>
    <w:basedOn w:val="Normal"/>
    <w:link w:val="PiedepginaCar"/>
    <w:uiPriority w:val="99"/>
    <w:unhideWhenUsed/>
    <w:rsid w:val="00981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E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5C7E"/>
    <w:rPr>
      <w:b/>
      <w:bCs/>
    </w:rPr>
  </w:style>
  <w:style w:type="character" w:customStyle="1" w:styleId="apple-converted-space">
    <w:name w:val="apple-converted-space"/>
    <w:basedOn w:val="Fuentedeprrafopredeter"/>
    <w:rsid w:val="00095C7E"/>
  </w:style>
  <w:style w:type="paragraph" w:styleId="Encabezado">
    <w:name w:val="header"/>
    <w:basedOn w:val="Normal"/>
    <w:link w:val="EncabezadoCar"/>
    <w:uiPriority w:val="99"/>
    <w:unhideWhenUsed/>
    <w:rsid w:val="00981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0C7"/>
  </w:style>
  <w:style w:type="paragraph" w:styleId="Piedepgina">
    <w:name w:val="footer"/>
    <w:basedOn w:val="Normal"/>
    <w:link w:val="PiedepginaCar"/>
    <w:uiPriority w:val="99"/>
    <w:unhideWhenUsed/>
    <w:rsid w:val="00981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3309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Jose</cp:lastModifiedBy>
  <cp:revision>5</cp:revision>
  <dcterms:created xsi:type="dcterms:W3CDTF">2015-05-15T19:17:00Z</dcterms:created>
  <dcterms:modified xsi:type="dcterms:W3CDTF">2015-05-16T08:29:00Z</dcterms:modified>
</cp:coreProperties>
</file>